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0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Radoff Bradley Louis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1"/>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KVH INDUSTRIES INC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KVHI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2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0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2727 KIRBY DRIVE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UNIT 29L</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32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HOUSTON</w:t>
            </w:r>
          </w:p>
        </w:tc>
        <w:tc>
          <w:tcPr>
            <w:tcW w:w="11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77098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22"/>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7"/>
          </w:tcPr>
          <w:p>
            <w:pPr>
              <w:jc w:val="center"/>
              <w:ind w:right="18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w w:val="95"/>
              </w:rPr>
              <w:t>Price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05/27/2026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10,941</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1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10.7759</w:t>
            </w:r>
            <w:r>
              <w:rPr>
                <w:rFonts w:ascii="Times New Roman" w:cs="Times New Roman" w:eastAsia="Times New Roman" w:hAnsi="Times New Roman"/>
                <w:sz w:val="22"/>
                <w:szCs w:val="22"/>
                <w:color w:val="008000"/>
                <w:w w:val="97"/>
                <w:vertAlign w:val="superscript"/>
              </w:rPr>
              <w:t>(3)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314,059</w:t>
            </w:r>
          </w:p>
        </w:tc>
        <w:tc>
          <w:tcPr>
            <w:tcW w:w="340" w:type="dxa"/>
            <w:vAlign w:val="bottom"/>
          </w:tcPr>
          <w:p>
            <w:pPr>
              <w:spacing w:after="0"/>
              <w:rPr>
                <w:sz w:val="18"/>
                <w:szCs w:val="18"/>
                <w:color w:val="auto"/>
              </w:rPr>
            </w:pPr>
          </w:p>
        </w:tc>
        <w:tc>
          <w:tcPr>
            <w:tcW w:w="56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w w:val="74"/>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Radoff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05/27/2026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24,059</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14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11.3926</w:t>
            </w:r>
            <w:r>
              <w:rPr>
                <w:rFonts w:ascii="Times New Roman" w:cs="Times New Roman" w:eastAsia="Times New Roman" w:hAnsi="Times New Roman"/>
                <w:sz w:val="22"/>
                <w:szCs w:val="22"/>
                <w:color w:val="008000"/>
                <w:w w:val="95"/>
                <w:vertAlign w:val="superscript"/>
              </w:rPr>
              <w:t>(4)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290,000</w:t>
            </w:r>
          </w:p>
        </w:tc>
        <w:tc>
          <w:tcPr>
            <w:tcW w:w="340" w:type="dxa"/>
            <w:vAlign w:val="bottom"/>
          </w:tcPr>
          <w:p>
            <w:pPr>
              <w:spacing w:after="0"/>
              <w:rPr>
                <w:sz w:val="18"/>
                <w:szCs w:val="18"/>
                <w:color w:val="auto"/>
              </w:rPr>
            </w:pPr>
          </w:p>
        </w:tc>
        <w:tc>
          <w:tcPr>
            <w:tcW w:w="56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w w:val="74"/>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Radoff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1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9"/>
              </w:rPr>
              <w:t>2,180,000</w:t>
            </w:r>
          </w:p>
        </w:tc>
        <w:tc>
          <w:tcPr>
            <w:tcW w:w="34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373"/>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right"/>
              <w:ind w:right="78"/>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4"/>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Radoff Bradley Louis</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2727 KIRBY DRIVE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UNIT 29L</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8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77098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Radoff Family Foundation</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t>2727 KIRBY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1121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1410"/>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UNIT 29L</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77098</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The Radoff Family Foundation ("Radoff Foundation") and Bradley L. Radoff (collectively, the "Reporting Persons"). Each of the Reporting Persons may be deemed to be a member of a Section 13(d) group that collectively beneficially owns more than 10% of the Issuer's outstanding shares of Common Stock (the "Shares"). Each Reporting Person disclaims beneficial ownership of the securities of the Issuer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4" w:lineRule="exact"/>
        <w:rPr>
          <w:rFonts w:ascii="Times New Roman" w:cs="Times New Roman" w:eastAsia="Times New Roman" w:hAnsi="Times New Roman"/>
          <w:sz w:val="13"/>
          <w:szCs w:val="13"/>
          <w:color w:val="008000"/>
        </w:rPr>
      </w:pPr>
    </w:p>
    <w:p>
      <w:pPr>
        <w:ind w:right="4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Radoff Foundation. Mr. Radoff, as a director of Radoff Foundation, may be deemed the beneficial owner of the securities owned by Radoff Foundation; however, Mr. Radoff does not have any pecuniary interest in the securities owned by Radoff Foundation.</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price. These Shares were sold in multiple transactions at prices ranging from $10.7600 to $10.9550,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price. These Shares were sold in multiple transactions at prices ranging from $10.9600 to $11.9600,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/s/Bradley L. Radoff</w:t>
            </w:r>
          </w:p>
        </w:tc>
        <w:tc>
          <w:tcPr>
            <w:tcW w:w="7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05/29/2026</w:t>
            </w:r>
          </w:p>
        </w:tc>
      </w:tr>
    </w:tbl>
    <w:p>
      <w:pPr>
        <w:spacing w:after="0" w:line="6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Radoff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41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Foundation, By: /s/ Bradley L.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Radoff,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25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3" Type="http://schemas.openxmlformats.org/officeDocument/2006/relationships/hyperlink" Target="http://www.sec.gov/cgi-bin/browse-edgar?action=getcompany&amp;CIK=0001380585" TargetMode="External"/><Relationship Id="rId14" Type="http://schemas.openxmlformats.org/officeDocument/2006/relationships/hyperlink" Target="http://www.sec.gov/cgi-bin/browse-edgar?action=getcompany&amp;CIK=0001007587" TargetMode="External"/><Relationship Id="rId16" Type="http://schemas.openxmlformats.org/officeDocument/2006/relationships/hyperlink" Target="http://www.sec.gov/cgi-bin/browse-edgar?action=getcompany&amp;CIK=00014969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2026-05-29T19:31:35Z</dcterms:created>
  <dcterms:modified xsi:type="dcterms:W3CDTF">2026-05-29T19:31:35Z</dcterms:modified>
</cp:coreProperties>
</file>