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1" w:lineRule="exact"/>
        <w:rPr>
          <w:sz w:val="24"/>
          <w:szCs w:val="24"/>
          <w:color w:val="auto"/>
        </w:rPr>
      </w:pPr>
    </w:p>
    <w:p>
      <w:pPr>
        <w:jc w:val="center"/>
        <w:ind w:right="-780"/>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78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840"/>
        <w:spacing w:after="0"/>
        <w:rPr>
          <w:sz w:val="20"/>
          <w:szCs w:val="20"/>
          <w:color w:val="auto"/>
        </w:rPr>
      </w:pPr>
      <w:r>
        <w:rPr>
          <w:rFonts w:ascii="Arial" w:cs="Arial" w:eastAsia="Arial" w:hAnsi="Arial"/>
          <w:sz w:val="22"/>
          <w:szCs w:val="22"/>
          <w:b w:val="1"/>
          <w:bCs w:val="1"/>
          <w:color w:val="auto"/>
        </w:rPr>
        <w:t>WASHINGTON, D.C. 20549</w:t>
      </w:r>
    </w:p>
    <w:p>
      <w:pPr>
        <w:spacing w:after="0" w:line="198" w:lineRule="exact"/>
        <w:rPr>
          <w:sz w:val="24"/>
          <w:szCs w:val="24"/>
          <w:color w:val="auto"/>
        </w:rPr>
      </w:pPr>
    </w:p>
    <w:p>
      <w:pPr>
        <w:jc w:val="center"/>
        <w:ind w:right="-880"/>
        <w:spacing w:after="0"/>
        <w:rPr>
          <w:sz w:val="20"/>
          <w:szCs w:val="20"/>
          <w:color w:val="auto"/>
        </w:rPr>
      </w:pPr>
      <w:r>
        <w:rPr>
          <w:rFonts w:ascii="Arial" w:cs="Arial" w:eastAsia="Arial" w:hAnsi="Arial"/>
          <w:sz w:val="22"/>
          <w:szCs w:val="22"/>
          <w:b w:val="1"/>
          <w:bCs w:val="1"/>
          <w:color w:val="auto"/>
        </w:rPr>
        <w:t>SCHEDULE 14A</w:t>
      </w:r>
      <w:r>
        <w:rPr>
          <w:rFonts w:ascii="Times New Roman" w:cs="Times New Roman" w:eastAsia="Times New Roman" w:hAnsi="Times New Roman"/>
          <w:sz w:val="17"/>
          <w:szCs w:val="17"/>
          <w:color w:val="auto"/>
        </w:rPr>
        <w:t>​</w:t>
      </w:r>
    </w:p>
    <w:p>
      <w:pPr>
        <w:spacing w:after="0" w:line="229"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Securities Exchange Act of 1934 (Amendment No.      )</w:t>
      </w:r>
    </w:p>
    <w:p>
      <w:pPr>
        <w:spacing w:after="0" w:line="58" w:lineRule="exact"/>
        <w:rPr>
          <w:sz w:val="24"/>
          <w:szCs w:val="24"/>
          <w:color w:val="auto"/>
        </w:rPr>
      </w:pPr>
    </w:p>
    <w:p>
      <w:pPr>
        <w:ind w:left="12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29" w:lineRule="exact"/>
        <w:rPr>
          <w:sz w:val="24"/>
          <w:szCs w:val="24"/>
          <w:color w:val="auto"/>
        </w:rPr>
      </w:pPr>
    </w:p>
    <w:p>
      <w:pPr>
        <w:ind w:left="126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53" w:lineRule="exact"/>
        <w:rPr>
          <w:sz w:val="24"/>
          <w:szCs w:val="24"/>
          <w:color w:val="auto"/>
        </w:rPr>
      </w:pPr>
    </w:p>
    <w:p>
      <w:pPr>
        <w:ind w:left="1260"/>
        <w:spacing w:after="0"/>
        <w:rPr>
          <w:sz w:val="20"/>
          <w:szCs w:val="20"/>
          <w:color w:val="auto"/>
        </w:rPr>
      </w:pPr>
      <w:r>
        <w:rPr>
          <w:rFonts w:ascii="Arial" w:cs="Arial" w:eastAsia="Arial" w:hAnsi="Arial"/>
          <w:sz w:val="17"/>
          <w:szCs w:val="17"/>
          <w:color w:val="auto"/>
        </w:rPr>
        <w:t>Check the appropriate box:</w:t>
      </w:r>
    </w:p>
    <w:p>
      <w:pPr>
        <w:spacing w:after="0" w:line="115"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28" w:lineRule="exact"/>
        <w:rPr>
          <w:rFonts w:ascii="MS PGothic" w:cs="MS PGothic" w:eastAsia="MS PGothic" w:hAnsi="MS PGothic"/>
          <w:sz w:val="17"/>
          <w:szCs w:val="17"/>
          <w:color w:val="auto"/>
        </w:rPr>
      </w:pPr>
    </w:p>
    <w:p>
      <w:pPr>
        <w:ind w:left="1620" w:hanging="360"/>
        <w:spacing w:after="0"/>
        <w:tabs>
          <w:tab w:leader="none" w:pos="16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115"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5"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28" w:lineRule="exact"/>
        <w:rPr>
          <w:rFonts w:ascii="MS PGothic" w:cs="MS PGothic" w:eastAsia="MS PGothic" w:hAnsi="MS PGothic"/>
          <w:sz w:val="17"/>
          <w:szCs w:val="17"/>
          <w:color w:val="auto"/>
        </w:rPr>
      </w:pPr>
    </w:p>
    <w:p>
      <w:pPr>
        <w:ind w:left="1620" w:hanging="360"/>
        <w:spacing w:after="0"/>
        <w:tabs>
          <w:tab w:leader="none" w:pos="16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Rule 14a-12</w:t>
      </w:r>
    </w:p>
    <w:p>
      <w:pPr>
        <w:spacing w:after="0" w:line="221" w:lineRule="exact"/>
        <w:rPr>
          <w:sz w:val="24"/>
          <w:szCs w:val="24"/>
          <w:color w:val="auto"/>
        </w:rPr>
      </w:pPr>
    </w:p>
    <w:p>
      <w:pPr>
        <w:ind w:left="4020"/>
        <w:spacing w:after="0"/>
        <w:rPr>
          <w:sz w:val="20"/>
          <w:szCs w:val="20"/>
          <w:color w:val="auto"/>
        </w:rPr>
      </w:pPr>
      <w:r>
        <w:rPr>
          <w:rFonts w:ascii="Arial" w:cs="Arial" w:eastAsia="Arial" w:hAnsi="Arial"/>
          <w:sz w:val="25"/>
          <w:szCs w:val="25"/>
          <w:b w:val="1"/>
          <w:bCs w:val="1"/>
          <w:color w:val="auto"/>
        </w:rPr>
        <w:t>KVH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21590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41" w:lineRule="exact"/>
        <w:rPr>
          <w:sz w:val="24"/>
          <w:szCs w:val="24"/>
          <w:color w:val="auto"/>
        </w:rPr>
      </w:pPr>
    </w:p>
    <w:p>
      <w:pPr>
        <w:jc w:val="center"/>
        <w:ind w:right="-880"/>
        <w:spacing w:after="0"/>
        <w:rPr>
          <w:sz w:val="20"/>
          <w:szCs w:val="20"/>
          <w:color w:val="auto"/>
        </w:rPr>
      </w:pPr>
      <w:r>
        <w:rPr>
          <w:rFonts w:ascii="Arial" w:cs="Arial" w:eastAsia="Arial" w:hAnsi="Arial"/>
          <w:sz w:val="14"/>
          <w:szCs w:val="14"/>
          <w:color w:val="auto"/>
        </w:rPr>
        <w:t>(Name of Registrant as Specified In Its Charter)</w:t>
      </w:r>
      <w:r>
        <w:rPr>
          <w:rFonts w:ascii="Times New Roman" w:cs="Times New Roman" w:eastAsia="Times New Roman" w:hAnsi="Times New Roman"/>
          <w:sz w:val="17"/>
          <w:szCs w:val="17"/>
          <w:color w:val="auto"/>
        </w:rPr>
        <w:t>​</w:t>
      </w:r>
    </w:p>
    <w:p>
      <w:pPr>
        <w:spacing w:after="0" w:line="93" w:lineRule="exact"/>
        <w:rPr>
          <w:sz w:val="24"/>
          <w:szCs w:val="24"/>
          <w:color w:val="auto"/>
        </w:rPr>
      </w:pPr>
    </w:p>
    <w:p>
      <w:pPr>
        <w:jc w:val="center"/>
        <w:ind w:right="-800"/>
        <w:spacing w:after="0"/>
        <w:rPr>
          <w:sz w:val="20"/>
          <w:szCs w:val="20"/>
          <w:color w:val="auto"/>
        </w:rPr>
      </w:pPr>
      <w:r>
        <w:rPr>
          <w:rFonts w:ascii="Arial" w:cs="Arial" w:eastAsia="Arial" w:hAnsi="Arial"/>
          <w:sz w:val="17"/>
          <w:szCs w:val="17"/>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121285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90" w:lineRule="exact"/>
        <w:rPr>
          <w:sz w:val="24"/>
          <w:szCs w:val="24"/>
          <w:color w:val="auto"/>
        </w:rPr>
      </w:pPr>
    </w:p>
    <w:p>
      <w:pPr>
        <w:ind w:left="3120"/>
        <w:spacing w:after="0"/>
        <w:rPr>
          <w:sz w:val="20"/>
          <w:szCs w:val="20"/>
          <w:color w:val="auto"/>
        </w:rPr>
      </w:pPr>
      <w:r>
        <w:rPr>
          <w:rFonts w:ascii="Arial" w:cs="Arial" w:eastAsia="Arial" w:hAnsi="Arial"/>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100" w:lineRule="exact"/>
        <w:rPr>
          <w:sz w:val="24"/>
          <w:szCs w:val="24"/>
          <w:color w:val="auto"/>
        </w:rPr>
      </w:pPr>
    </w:p>
    <w:p>
      <w:pPr>
        <w:ind w:left="1260"/>
        <w:spacing w:after="0"/>
        <w:rPr>
          <w:sz w:val="20"/>
          <w:szCs w:val="20"/>
          <w:color w:val="auto"/>
        </w:rPr>
      </w:pPr>
      <w:r>
        <w:rPr>
          <w:rFonts w:ascii="Arial" w:cs="Arial" w:eastAsia="Arial" w:hAnsi="Arial"/>
          <w:sz w:val="17"/>
          <w:szCs w:val="17"/>
          <w:color w:val="auto"/>
        </w:rPr>
        <w:t>Payment of Filing Fee (Check all boxes that apply):</w:t>
      </w:r>
    </w:p>
    <w:p>
      <w:pPr>
        <w:spacing w:after="0" w:line="115"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29"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15" w:lineRule="exact"/>
        <w:rPr>
          <w:rFonts w:ascii="MS PGothic" w:cs="MS PGothic" w:eastAsia="MS PGothic" w:hAnsi="MS PGothic"/>
          <w:sz w:val="17"/>
          <w:szCs w:val="17"/>
          <w:color w:val="auto"/>
        </w:rPr>
      </w:pPr>
    </w:p>
    <w:p>
      <w:pPr>
        <w:ind w:left="1620" w:hanging="360"/>
        <w:spacing w:after="0"/>
        <w:tabs>
          <w:tab w:leader="none" w:pos="162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3622040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039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5005" cy="90392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260985</wp:posOffset>
            </wp:positionV>
            <wp:extent cx="1654175" cy="5060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417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KVH Industries, Inc.</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500 Wood Street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Unit 320,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w:t>
      </w:r>
    </w:p>
    <w:p>
      <w:pPr>
        <w:spacing w:after="0" w:line="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Bristol, RI 02809</w:t>
      </w:r>
    </w:p>
    <w:p>
      <w:pPr>
        <w:spacing w:after="0" w:line="15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April 28, 2026</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Fellow Stockholder:</w:t>
      </w:r>
    </w:p>
    <w:p>
      <w:pPr>
        <w:spacing w:after="0" w:line="171" w:lineRule="exact"/>
        <w:rPr>
          <w:sz w:val="20"/>
          <w:szCs w:val="20"/>
          <w:color w:val="auto"/>
        </w:rPr>
      </w:pPr>
    </w:p>
    <w:p>
      <w:pPr>
        <w:jc w:val="both"/>
        <w:ind w:left="700"/>
        <w:spacing w:after="0" w:line="230" w:lineRule="auto"/>
        <w:rPr>
          <w:sz w:val="20"/>
          <w:szCs w:val="20"/>
          <w:color w:val="auto"/>
        </w:rPr>
      </w:pPr>
      <w:r>
        <w:rPr>
          <w:rFonts w:ascii="Arial" w:cs="Arial" w:eastAsia="Arial" w:hAnsi="Arial"/>
          <w:sz w:val="18"/>
          <w:szCs w:val="18"/>
          <w:color w:val="auto"/>
        </w:rPr>
        <w:t>We are pleased to invite you to attend KVH Industries, Inc.’s 2026 annual meeting of stockholders, which will take place on June 10, 2026, at 11:00 a.m. local time at our world headquarters at 500 Wood Street, Unit 320,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Bristol, Rhode Island 02809.</w:t>
      </w:r>
    </w:p>
    <w:p>
      <w:pPr>
        <w:spacing w:after="0" w:line="86"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As an innovative leader in mobile connectivity solutions, we deliver superior integrated airtime services, products, and value-added services to large markets worldwide. In doing so, we have established a versatile multi-orbit, multi-channel communications network that supports our hybrid connectivity solutions for our global subscriber base. Our airtime and value-added services, award-winning mobile connectivity terminals, and distribution of third-party terminals enable us to support commercial, leisure, and military maritime operations along with crew welfare needs, while our mobile satellite TV terminals deliver live TV entertainment to maritime and land customers.</w:t>
      </w:r>
    </w:p>
    <w:p>
      <w:pPr>
        <w:spacing w:after="0" w:line="74" w:lineRule="exact"/>
        <w:rPr>
          <w:sz w:val="20"/>
          <w:szCs w:val="20"/>
          <w:color w:val="auto"/>
        </w:rPr>
      </w:pPr>
    </w:p>
    <w:p>
      <w:pPr>
        <w:jc w:val="both"/>
        <w:ind w:left="700"/>
        <w:spacing w:after="0" w:line="287" w:lineRule="auto"/>
        <w:rPr>
          <w:sz w:val="20"/>
          <w:szCs w:val="20"/>
          <w:color w:val="auto"/>
        </w:rPr>
      </w:pPr>
      <w:r>
        <w:rPr>
          <w:rFonts w:ascii="Arial" w:cs="Arial" w:eastAsia="Arial" w:hAnsi="Arial"/>
          <w:sz w:val="18"/>
          <w:szCs w:val="18"/>
          <w:color w:val="auto"/>
        </w:rPr>
        <w:t>In addition to this proxy statement, we encourage you to read our 2025 annual report for a more complete picture of our performance and how we are working to increase stockholder value.</w:t>
      </w:r>
    </w:p>
    <w:p>
      <w:pPr>
        <w:spacing w:after="0" w:line="45" w:lineRule="exact"/>
        <w:rPr>
          <w:sz w:val="20"/>
          <w:szCs w:val="20"/>
          <w:color w:val="auto"/>
        </w:rPr>
      </w:pPr>
    </w:p>
    <w:p>
      <w:pPr>
        <w:jc w:val="both"/>
        <w:ind w:left="700"/>
        <w:spacing w:after="0" w:line="262" w:lineRule="auto"/>
        <w:rPr>
          <w:sz w:val="20"/>
          <w:szCs w:val="20"/>
          <w:color w:val="auto"/>
        </w:rPr>
      </w:pPr>
      <w:r>
        <w:rPr>
          <w:rFonts w:ascii="Arial" w:cs="Arial" w:eastAsia="Arial" w:hAnsi="Arial"/>
          <w:sz w:val="18"/>
          <w:szCs w:val="18"/>
          <w:color w:val="auto"/>
        </w:rPr>
        <w:t>Finally, we encourage you to vote, regardless of the size of your share holdings. Every vote is meaningful, and your participation helps us better hear and act on what matters to you as a stockholder. Please vote by signing and dating the enclosed proxy card and returning it in the enclosed postage-paid envelope. You can also vote over the Internet or by telephone by following the instructions on the enclosed proxy card.</w:t>
      </w:r>
    </w:p>
    <w:p>
      <w:pPr>
        <w:spacing w:after="0" w:line="68" w:lineRule="exact"/>
        <w:rPr>
          <w:sz w:val="20"/>
          <w:szCs w:val="20"/>
          <w:color w:val="auto"/>
        </w:rPr>
      </w:pPr>
    </w:p>
    <w:p>
      <w:pPr>
        <w:jc w:val="both"/>
        <w:ind w:left="700"/>
        <w:spacing w:after="0" w:line="287" w:lineRule="auto"/>
        <w:rPr>
          <w:sz w:val="20"/>
          <w:szCs w:val="20"/>
          <w:color w:val="auto"/>
        </w:rPr>
      </w:pPr>
      <w:r>
        <w:rPr>
          <w:rFonts w:ascii="Arial" w:cs="Arial" w:eastAsia="Arial" w:hAnsi="Arial"/>
          <w:sz w:val="18"/>
          <w:szCs w:val="18"/>
          <w:color w:val="auto"/>
        </w:rPr>
        <w:t>On behalf of all of us at KVH, we want to thank you for your continued support and ownership of KVH. I hope you will be able to join us at the annual meeting.</w:t>
      </w:r>
    </w:p>
    <w:p>
      <w:pPr>
        <w:spacing w:after="0" w:line="36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103505</wp:posOffset>
            </wp:positionV>
            <wp:extent cx="96012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01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David M. Tolley</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Chairman of the Board of Directors</w:t>
      </w:r>
    </w:p>
    <w:p>
      <w:pPr>
        <w:spacing w:after="0" w:line="99" w:lineRule="exact"/>
        <w:rPr>
          <w:sz w:val="20"/>
          <w:szCs w:val="20"/>
          <w:color w:val="auto"/>
        </w:rPr>
      </w:pPr>
    </w:p>
    <w:p>
      <w:pPr>
        <w:jc w:val="both"/>
        <w:ind w:left="700" w:right="20"/>
        <w:spacing w:after="0" w:line="311" w:lineRule="auto"/>
        <w:rPr>
          <w:sz w:val="20"/>
          <w:szCs w:val="20"/>
          <w:color w:val="auto"/>
        </w:rPr>
      </w:pPr>
      <w:r>
        <w:rPr>
          <w:rFonts w:ascii="Arial" w:cs="Arial" w:eastAsia="Arial" w:hAnsi="Arial"/>
          <w:sz w:val="17"/>
          <w:szCs w:val="17"/>
          <w:b w:val="1"/>
          <w:bCs w:val="1"/>
          <w:color w:val="auto"/>
        </w:rPr>
        <w:t>The Notice of Annual Meeting of Stockholders, the accompanying Proxy Statement, form of proxy card, and the 2025 Annual Report are first being mailed to stockholders of record as of April 15, 2026, on or about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2240915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865505</wp:posOffset>
            </wp:positionV>
            <wp:extent cx="10287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865505</wp:posOffset>
            </wp:positionV>
            <wp:extent cx="102235"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235" cy="32575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260985</wp:posOffset>
            </wp:positionV>
            <wp:extent cx="1482725" cy="454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827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700" w:type="dxa"/>
        <w:tblCellMar>
          <w:top w:w="0" w:type="dxa"/>
          <w:left w:w="0" w:type="dxa"/>
          <w:bottom w:w="0" w:type="dxa"/>
          <w:right w:w="0" w:type="dxa"/>
        </w:tblCellMar>
      </w:tblPr>
      <w:tr>
        <w:trPr>
          <w:trHeight w:val="368"/>
        </w:trPr>
        <w:tc>
          <w:tcPr>
            <w:tcW w:w="120" w:type="dxa"/>
            <w:vAlign w:val="bottom"/>
          </w:tcPr>
          <w:p>
            <w:pPr>
              <w:spacing w:after="0"/>
              <w:rPr>
                <w:sz w:val="20"/>
                <w:szCs w:val="20"/>
                <w:color w:val="auto"/>
              </w:rPr>
            </w:pPr>
            <w:r>
              <w:rPr>
                <w:rFonts w:ascii="Arial" w:cs="Arial" w:eastAsia="Arial" w:hAnsi="Arial"/>
                <w:sz w:val="32"/>
                <w:szCs w:val="32"/>
                <w:b w:val="1"/>
                <w:bCs w:val="1"/>
                <w:color w:val="FFFFFF"/>
              </w:rPr>
              <w:t>​</w:t>
            </w:r>
          </w:p>
        </w:tc>
        <w:tc>
          <w:tcPr>
            <w:tcW w:w="9060" w:type="dxa"/>
            <w:vAlign w:val="bottom"/>
            <w:shd w:val="clear" w:color="auto" w:fill="395796"/>
          </w:tcPr>
          <w:p>
            <w:pPr>
              <w:ind w:left="7980"/>
              <w:spacing w:after="0"/>
              <w:rPr>
                <w:sz w:val="20"/>
                <w:szCs w:val="20"/>
                <w:color w:val="auto"/>
              </w:rPr>
            </w:pPr>
            <w:r>
              <w:rPr>
                <w:rFonts w:ascii="Arial" w:cs="Arial" w:eastAsia="Arial" w:hAnsi="Arial"/>
                <w:sz w:val="18"/>
                <w:szCs w:val="18"/>
                <w:color w:val="FFFFFF"/>
              </w:rPr>
              <w:t>​</w:t>
            </w:r>
          </w:p>
        </w:tc>
        <w:tc>
          <w:tcPr>
            <w:tcW w:w="80" w:type="dxa"/>
            <w:vAlign w:val="bottom"/>
          </w:tcPr>
          <w:p>
            <w:pPr>
              <w:spacing w:after="0"/>
              <w:rPr>
                <w:sz w:val="20"/>
                <w:szCs w:val="20"/>
                <w:color w:val="auto"/>
              </w:rPr>
            </w:pPr>
            <w:r>
              <w:rPr>
                <w:rFonts w:ascii="Arial" w:cs="Arial" w:eastAsia="Arial" w:hAnsi="Arial"/>
                <w:sz w:val="32"/>
                <w:szCs w:val="32"/>
                <w:b w:val="1"/>
                <w:bCs w:val="1"/>
                <w:color w:val="FFFFFF"/>
              </w:rPr>
              <w:t>​</w:t>
            </w:r>
          </w:p>
        </w:tc>
      </w:tr>
      <w:tr>
        <w:trPr>
          <w:trHeight w:val="401"/>
        </w:trPr>
        <w:tc>
          <w:tcPr>
            <w:tcW w:w="120" w:type="dxa"/>
            <w:vAlign w:val="bottom"/>
          </w:tcPr>
          <w:p>
            <w:pPr>
              <w:spacing w:after="0"/>
              <w:rPr>
                <w:sz w:val="24"/>
                <w:szCs w:val="24"/>
                <w:color w:val="auto"/>
              </w:rPr>
            </w:pPr>
          </w:p>
        </w:tc>
        <w:tc>
          <w:tcPr>
            <w:tcW w:w="9060" w:type="dxa"/>
            <w:vAlign w:val="bottom"/>
            <w:shd w:val="clear" w:color="auto" w:fill="395796"/>
          </w:tcPr>
          <w:p>
            <w:pPr>
              <w:spacing w:after="0"/>
              <w:rPr>
                <w:sz w:val="20"/>
                <w:szCs w:val="20"/>
                <w:color w:val="auto"/>
              </w:rPr>
            </w:pPr>
            <w:r>
              <w:rPr>
                <w:rFonts w:ascii="Arial" w:cs="Arial" w:eastAsia="Arial" w:hAnsi="Arial"/>
                <w:sz w:val="32"/>
                <w:szCs w:val="32"/>
                <w:b w:val="1"/>
                <w:bCs w:val="1"/>
                <w:color w:val="FFFFFF"/>
              </w:rPr>
              <w:t>NOTICE OF ANNUAL MEETING OF STOCKHOLDERS</w:t>
            </w:r>
          </w:p>
        </w:tc>
        <w:tc>
          <w:tcPr>
            <w:tcW w:w="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20"/>
          </w:cols>
          <w:pgMar w:left="580" w:top="97" w:right="1199" w:bottom="1440" w:gutter="0" w:footer="0" w:header="0"/>
        </w:sectPr>
      </w:pPr>
    </w:p>
    <w:p>
      <w:pPr>
        <w:spacing w:after="0" w:line="92" w:lineRule="exact"/>
        <w:rPr>
          <w:sz w:val="20"/>
          <w:szCs w:val="20"/>
          <w:color w:val="auto"/>
        </w:rPr>
      </w:pPr>
    </w:p>
    <w:p>
      <w:pPr>
        <w:ind w:left="700"/>
        <w:spacing w:after="0"/>
        <w:rPr>
          <w:sz w:val="20"/>
          <w:szCs w:val="20"/>
          <w:color w:val="auto"/>
        </w:rPr>
      </w:pPr>
      <w:r>
        <w:rPr>
          <w:rFonts w:ascii="Arial" w:cs="Arial" w:eastAsia="Arial" w:hAnsi="Arial"/>
          <w:sz w:val="18"/>
          <w:szCs w:val="18"/>
          <w:color w:val="395796"/>
        </w:rPr>
        <w:t>​</w:t>
      </w:r>
      <w:r>
        <w:rPr>
          <w:rFonts w:ascii="Arial" w:cs="Arial" w:eastAsia="Arial" w:hAnsi="Arial"/>
          <w:sz w:val="18"/>
          <w:szCs w:val="18"/>
          <w:b w:val="1"/>
          <w:bCs w:val="1"/>
          <w:i w:val="1"/>
          <w:iCs w:val="1"/>
          <w:color w:val="395796"/>
        </w:rPr>
        <w:t>Date and Time:</w:t>
      </w:r>
    </w:p>
    <w:p>
      <w:pPr>
        <w:ind w:left="700"/>
        <w:spacing w:after="0" w:line="229" w:lineRule="auto"/>
        <w:rPr>
          <w:sz w:val="20"/>
          <w:szCs w:val="20"/>
          <w:color w:val="auto"/>
        </w:rPr>
      </w:pPr>
      <w:r>
        <w:rPr>
          <w:rFonts w:ascii="Arial" w:cs="Arial" w:eastAsia="Arial" w:hAnsi="Arial"/>
          <w:sz w:val="18"/>
          <w:szCs w:val="18"/>
          <w:b w:val="1"/>
          <w:bCs w:val="1"/>
          <w:i w:val="1"/>
          <w:iCs w:val="1"/>
          <w:color w:val="395796"/>
        </w:rPr>
        <w:t>Venue:</w:t>
      </w:r>
      <w:r>
        <w:rPr>
          <w:rFonts w:ascii="Arial" w:cs="Arial" w:eastAsia="Arial" w:hAnsi="Arial"/>
          <w:sz w:val="35"/>
          <w:szCs w:val="35"/>
          <w:color w:val="000000"/>
          <w:vertAlign w:val="superscript"/>
        </w:rPr>
        <w:t>​</w:t>
      </w:r>
    </w:p>
    <w:p>
      <w:pPr>
        <w:spacing w:after="0" w:line="200" w:lineRule="exact"/>
        <w:rPr>
          <w:sz w:val="20"/>
          <w:szCs w:val="20"/>
          <w:color w:val="auto"/>
        </w:rPr>
      </w:pPr>
    </w:p>
    <w:p>
      <w:pPr>
        <w:spacing w:after="0" w:line="333" w:lineRule="exact"/>
        <w:rPr>
          <w:sz w:val="20"/>
          <w:szCs w:val="20"/>
          <w:color w:val="auto"/>
        </w:rPr>
      </w:pPr>
    </w:p>
    <w:p>
      <w:pPr>
        <w:ind w:left="700"/>
        <w:spacing w:after="0"/>
        <w:rPr>
          <w:sz w:val="20"/>
          <w:szCs w:val="20"/>
          <w:color w:val="auto"/>
        </w:rPr>
      </w:pPr>
      <w:r>
        <w:rPr>
          <w:rFonts w:ascii="Arial" w:cs="Arial" w:eastAsia="Arial" w:hAnsi="Arial"/>
          <w:sz w:val="33"/>
          <w:szCs w:val="33"/>
          <w:color w:val="395796"/>
          <w:vertAlign w:val="superscript"/>
        </w:rPr>
        <w:t>​</w:t>
      </w:r>
      <w:r>
        <w:rPr>
          <w:rFonts w:ascii="Arial" w:cs="Arial" w:eastAsia="Arial" w:hAnsi="Arial"/>
          <w:sz w:val="17"/>
          <w:szCs w:val="17"/>
          <w:b w:val="1"/>
          <w:bCs w:val="1"/>
          <w:i w:val="1"/>
          <w:iCs w:val="1"/>
          <w:color w:val="395796"/>
        </w:rPr>
        <w:t>Items of Business:</w:t>
      </w:r>
    </w:p>
    <w:p>
      <w:pPr>
        <w:ind w:left="700"/>
        <w:spacing w:after="0"/>
        <w:rPr>
          <w:sz w:val="20"/>
          <w:szCs w:val="20"/>
          <w:color w:val="auto"/>
        </w:rPr>
      </w:pPr>
      <w:r>
        <w:rPr>
          <w:rFonts w:ascii="Arial" w:cs="Arial" w:eastAsia="Arial" w:hAnsi="Arial"/>
          <w:sz w:val="18"/>
          <w:szCs w:val="18"/>
          <w:color w:val="auto"/>
        </w:rPr>
        <w:t>​</w:t>
      </w:r>
    </w:p>
    <w:p>
      <w:pPr>
        <w:spacing w:after="0" w:line="3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18"/>
          <w:szCs w:val="18"/>
          <w:b w:val="1"/>
          <w:bCs w:val="1"/>
          <w:i w:val="1"/>
          <w:iCs w:val="1"/>
          <w:color w:val="395796"/>
        </w:rPr>
        <w:t>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18"/>
          <w:szCs w:val="18"/>
          <w:b w:val="1"/>
          <w:bCs w:val="1"/>
          <w:i w:val="1"/>
          <w:iCs w:val="1"/>
          <w:color w:val="395796"/>
        </w:rPr>
        <w:t>Voting:</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3"/>
          </w:tcPr>
          <w:p>
            <w:pPr>
              <w:spacing w:after="0"/>
              <w:rPr>
                <w:sz w:val="20"/>
                <w:szCs w:val="20"/>
                <w:color w:val="auto"/>
              </w:rPr>
            </w:pPr>
            <w:r>
              <w:rPr>
                <w:rFonts w:ascii="Arial" w:cs="Arial" w:eastAsia="Arial" w:hAnsi="Arial"/>
                <w:sz w:val="18"/>
                <w:szCs w:val="18"/>
                <w:color w:val="395796"/>
              </w:rPr>
              <w:t xml:space="preserve">​ ​ </w:t>
            </w:r>
            <w:r>
              <w:rPr>
                <w:rFonts w:ascii="Arial" w:cs="Arial" w:eastAsia="Arial" w:hAnsi="Arial"/>
                <w:sz w:val="18"/>
                <w:szCs w:val="18"/>
                <w:color w:val="000000"/>
              </w:rPr>
              <w:t>Wednesday, June 10, 2026, at 11:00 a.m., Eastern Time</w:t>
            </w:r>
          </w:p>
        </w:tc>
        <w:tc>
          <w:tcPr>
            <w:tcW w:w="400" w:type="dxa"/>
            <w:vAlign w:val="bottom"/>
          </w:tcPr>
          <w:p>
            <w:pPr>
              <w:ind w:left="340"/>
              <w:spacing w:after="0"/>
              <w:rPr>
                <w:sz w:val="20"/>
                <w:szCs w:val="20"/>
                <w:color w:val="auto"/>
              </w:rPr>
            </w:pPr>
            <w:r>
              <w:rPr>
                <w:rFonts w:ascii="Arial" w:cs="Arial" w:eastAsia="Arial" w:hAnsi="Arial"/>
                <w:sz w:val="18"/>
                <w:szCs w:val="18"/>
                <w:color w:val="395796"/>
              </w:rPr>
              <w:t>​</w:t>
            </w:r>
          </w:p>
        </w:tc>
      </w:tr>
      <w:tr>
        <w:trPr>
          <w:trHeight w:val="270"/>
        </w:trPr>
        <w:tc>
          <w:tcPr>
            <w:tcW w:w="6800" w:type="dxa"/>
            <w:vAlign w:val="bottom"/>
            <w:gridSpan w:val="3"/>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KVH Industries, Inc.</w:t>
            </w:r>
          </w:p>
        </w:tc>
        <w:tc>
          <w:tcPr>
            <w:tcW w:w="40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03"/>
        </w:trPr>
        <w:tc>
          <w:tcPr>
            <w:tcW w:w="220" w:type="dxa"/>
            <w:vAlign w:val="bottom"/>
          </w:tcPr>
          <w:p>
            <w:pPr>
              <w:spacing w:after="0"/>
              <w:rPr>
                <w:sz w:val="17"/>
                <w:szCs w:val="17"/>
                <w:color w:val="auto"/>
              </w:rPr>
            </w:pPr>
          </w:p>
        </w:tc>
        <w:tc>
          <w:tcPr>
            <w:tcW w:w="6580" w:type="dxa"/>
            <w:vAlign w:val="bottom"/>
            <w:gridSpan w:val="2"/>
          </w:tcPr>
          <w:p>
            <w:pPr>
              <w:spacing w:after="0" w:line="202" w:lineRule="exact"/>
              <w:rPr>
                <w:sz w:val="20"/>
                <w:szCs w:val="20"/>
                <w:color w:val="auto"/>
              </w:rPr>
            </w:pPr>
            <w:r>
              <w:rPr>
                <w:rFonts w:ascii="Arial" w:cs="Arial" w:eastAsia="Arial" w:hAnsi="Arial"/>
                <w:sz w:val="18"/>
                <w:szCs w:val="18"/>
                <w:color w:val="auto"/>
              </w:rPr>
              <w:t>500 Wood Street</w:t>
            </w:r>
          </w:p>
        </w:tc>
        <w:tc>
          <w:tcPr>
            <w:tcW w:w="4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580" w:type="dxa"/>
            <w:vAlign w:val="bottom"/>
            <w:gridSpan w:val="2"/>
          </w:tcPr>
          <w:p>
            <w:pPr>
              <w:spacing w:after="0" w:line="202" w:lineRule="exact"/>
              <w:rPr>
                <w:sz w:val="20"/>
                <w:szCs w:val="20"/>
                <w:color w:val="auto"/>
              </w:rPr>
            </w:pPr>
            <w:r>
              <w:rPr>
                <w:rFonts w:ascii="Arial" w:cs="Arial" w:eastAsia="Arial" w:hAnsi="Arial"/>
                <w:sz w:val="18"/>
                <w:szCs w:val="18"/>
                <w:color w:val="auto"/>
              </w:rPr>
              <w:t>Unit 320, 1st Floor</w:t>
            </w:r>
          </w:p>
        </w:tc>
        <w:tc>
          <w:tcPr>
            <w:tcW w:w="400" w:type="dxa"/>
            <w:vAlign w:val="bottom"/>
          </w:tcPr>
          <w:p>
            <w:pPr>
              <w:spacing w:after="0"/>
              <w:rPr>
                <w:sz w:val="17"/>
                <w:szCs w:val="17"/>
                <w:color w:val="auto"/>
              </w:rPr>
            </w:pPr>
          </w:p>
        </w:tc>
      </w:tr>
      <w:tr>
        <w:trPr>
          <w:trHeight w:val="239"/>
        </w:trPr>
        <w:tc>
          <w:tcPr>
            <w:tcW w:w="220" w:type="dxa"/>
            <w:vAlign w:val="bottom"/>
          </w:tcPr>
          <w:p>
            <w:pPr>
              <w:spacing w:after="0"/>
              <w:rPr>
                <w:sz w:val="20"/>
                <w:szCs w:val="20"/>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Bristol, RI 02809</w:t>
            </w:r>
          </w:p>
        </w:tc>
        <w:tc>
          <w:tcPr>
            <w:tcW w:w="400" w:type="dxa"/>
            <w:vAlign w:val="bottom"/>
          </w:tcPr>
          <w:p>
            <w:pPr>
              <w:spacing w:after="0"/>
              <w:rPr>
                <w:sz w:val="20"/>
                <w:szCs w:val="20"/>
                <w:color w:val="auto"/>
              </w:rPr>
            </w:pPr>
          </w:p>
        </w:tc>
      </w:tr>
      <w:tr>
        <w:trPr>
          <w:trHeight w:val="306"/>
        </w:trPr>
        <w:tc>
          <w:tcPr>
            <w:tcW w:w="6800" w:type="dxa"/>
            <w:vAlign w:val="bottom"/>
            <w:gridSpan w:val="3"/>
          </w:tcPr>
          <w:p>
            <w:pPr>
              <w:spacing w:after="0" w:line="306" w:lineRule="exact"/>
              <w:rPr>
                <w:sz w:val="20"/>
                <w:szCs w:val="20"/>
                <w:color w:val="auto"/>
              </w:rPr>
            </w:pPr>
            <w:r>
              <w:rPr>
                <w:rFonts w:ascii="Arial" w:cs="Arial" w:eastAsia="Arial" w:hAnsi="Arial"/>
                <w:sz w:val="35"/>
                <w:szCs w:val="35"/>
                <w:color w:val="395796"/>
                <w:vertAlign w:val="superscript"/>
              </w:rPr>
              <w:t>​ ​</w:t>
            </w:r>
            <w:r>
              <w:rPr>
                <w:rFonts w:ascii="Arial" w:cs="Arial" w:eastAsia="Arial" w:hAnsi="Arial"/>
                <w:sz w:val="18"/>
                <w:szCs w:val="18"/>
                <w:b w:val="1"/>
                <w:bCs w:val="1"/>
                <w:color w:val="395796"/>
              </w:rPr>
              <w:t xml:space="preserve"> Proposal 1: </w:t>
            </w:r>
            <w:r>
              <w:rPr>
                <w:rFonts w:ascii="Arial" w:cs="Arial" w:eastAsia="Arial" w:hAnsi="Arial"/>
                <w:sz w:val="18"/>
                <w:szCs w:val="18"/>
                <w:color w:val="000000"/>
              </w:rPr>
              <w:t>To elect two Class III directors to a three-year term expiring in 2029;</w:t>
            </w:r>
          </w:p>
        </w:tc>
        <w:tc>
          <w:tcPr>
            <w:tcW w:w="400" w:type="dxa"/>
            <w:vAlign w:val="bottom"/>
          </w:tcPr>
          <w:p>
            <w:pPr>
              <w:ind w:left="340"/>
              <w:spacing w:after="0"/>
              <w:rPr>
                <w:sz w:val="20"/>
                <w:szCs w:val="20"/>
                <w:color w:val="auto"/>
              </w:rPr>
            </w:pPr>
            <w:r>
              <w:rPr>
                <w:rFonts w:ascii="Arial" w:cs="Arial" w:eastAsia="Arial" w:hAnsi="Arial"/>
                <w:sz w:val="18"/>
                <w:szCs w:val="18"/>
                <w:color w:val="395796"/>
              </w:rPr>
              <w:t>​</w:t>
            </w:r>
          </w:p>
        </w:tc>
      </w:tr>
      <w:tr>
        <w:trPr>
          <w:trHeight w:val="20"/>
        </w:trPr>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2" w:lineRule="exact"/>
        <w:rPr>
          <w:sz w:val="20"/>
          <w:szCs w:val="20"/>
          <w:color w:val="auto"/>
        </w:rPr>
      </w:pPr>
    </w:p>
    <w:p>
      <w:pPr>
        <w:jc w:val="both"/>
        <w:ind w:left="220" w:right="60" w:hanging="215"/>
        <w:spacing w:after="0" w:line="200" w:lineRule="auto"/>
        <w:rPr>
          <w:sz w:val="20"/>
          <w:szCs w:val="20"/>
          <w:color w:val="auto"/>
        </w:rPr>
      </w:pPr>
      <w:r>
        <w:rPr>
          <w:rFonts w:ascii="Arial" w:cs="Arial" w:eastAsia="Arial" w:hAnsi="Arial"/>
          <w:sz w:val="35"/>
          <w:szCs w:val="35"/>
          <w:color w:val="000000"/>
          <w:vertAlign w:val="superscript"/>
        </w:rPr>
        <w:t>​ ​</w:t>
      </w:r>
      <w:r>
        <w:rPr>
          <w:rFonts w:ascii="Arial" w:cs="Arial" w:eastAsia="Arial" w:hAnsi="Arial"/>
          <w:sz w:val="18"/>
          <w:szCs w:val="18"/>
          <w:b w:val="1"/>
          <w:bCs w:val="1"/>
          <w:color w:val="395796"/>
        </w:rPr>
        <w:t xml:space="preserve"> Proposal 2: </w:t>
      </w:r>
      <w:r>
        <w:rPr>
          <w:rFonts w:ascii="Arial" w:cs="Arial" w:eastAsia="Arial" w:hAnsi="Arial"/>
          <w:sz w:val="18"/>
          <w:szCs w:val="18"/>
          <w:color w:val="000000"/>
        </w:rPr>
        <w:t>To approve, on an advisory (non-binding) basis, the compensation of our</w:t>
      </w:r>
      <w:r>
        <w:rPr>
          <w:rFonts w:ascii="Arial" w:cs="Arial" w:eastAsia="Arial" w:hAnsi="Arial"/>
          <w:sz w:val="35"/>
          <w:szCs w:val="35"/>
          <w:color w:val="000000"/>
          <w:vertAlign w:val="superscript"/>
        </w:rPr>
        <w:t>​</w:t>
      </w:r>
      <w:r>
        <w:rPr>
          <w:rFonts w:ascii="Arial" w:cs="Arial" w:eastAsia="Arial" w:hAnsi="Arial"/>
          <w:sz w:val="18"/>
          <w:szCs w:val="18"/>
          <w:b w:val="1"/>
          <w:bCs w:val="1"/>
          <w:color w:val="395796"/>
        </w:rPr>
        <w:t xml:space="preserve"> </w:t>
      </w:r>
      <w:r>
        <w:rPr>
          <w:rFonts w:ascii="Arial" w:cs="Arial" w:eastAsia="Arial" w:hAnsi="Arial"/>
          <w:sz w:val="18"/>
          <w:szCs w:val="18"/>
          <w:color w:val="000000"/>
        </w:rPr>
        <w:t>named executive officers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-147320</wp:posOffset>
            </wp:positionV>
            <wp:extent cx="5924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2455" cy="8255"/>
                    </a:xfrm>
                    <a:prstGeom prst="rect">
                      <a:avLst/>
                    </a:prstGeom>
                    <a:noFill/>
                  </pic:spPr>
                </pic:pic>
              </a:graphicData>
            </a:graphic>
          </wp:anchor>
        </w:drawing>
      </w:r>
    </w:p>
    <w:p>
      <w:pPr>
        <w:jc w:val="both"/>
        <w:ind w:left="220" w:right="60" w:hanging="215"/>
        <w:spacing w:after="0" w:line="200" w:lineRule="auto"/>
        <w:rPr>
          <w:sz w:val="20"/>
          <w:szCs w:val="20"/>
          <w:color w:val="auto"/>
        </w:rPr>
      </w:pPr>
      <w:r>
        <w:rPr>
          <w:rFonts w:ascii="Arial" w:cs="Arial" w:eastAsia="Arial" w:hAnsi="Arial"/>
          <w:sz w:val="35"/>
          <w:szCs w:val="35"/>
          <w:color w:val="000000"/>
          <w:vertAlign w:val="superscript"/>
        </w:rPr>
        <w:t>​ ​</w:t>
      </w:r>
      <w:r>
        <w:rPr>
          <w:rFonts w:ascii="Arial" w:cs="Arial" w:eastAsia="Arial" w:hAnsi="Arial"/>
          <w:sz w:val="18"/>
          <w:szCs w:val="18"/>
          <w:b w:val="1"/>
          <w:bCs w:val="1"/>
          <w:color w:val="395796"/>
        </w:rPr>
        <w:t xml:space="preserve"> Proposal 3: </w:t>
      </w:r>
      <w:r>
        <w:rPr>
          <w:rFonts w:ascii="Arial" w:cs="Arial" w:eastAsia="Arial" w:hAnsi="Arial"/>
          <w:sz w:val="18"/>
          <w:szCs w:val="18"/>
          <w:color w:val="000000"/>
        </w:rPr>
        <w:t>To ratify the appointment of Grant Thornton LLP as our independent</w:t>
      </w:r>
      <w:r>
        <w:rPr>
          <w:rFonts w:ascii="Arial" w:cs="Arial" w:eastAsia="Arial" w:hAnsi="Arial"/>
          <w:sz w:val="35"/>
          <w:szCs w:val="35"/>
          <w:color w:val="000000"/>
          <w:vertAlign w:val="superscript"/>
        </w:rPr>
        <w:t>​</w:t>
      </w:r>
      <w:r>
        <w:rPr>
          <w:rFonts w:ascii="Arial" w:cs="Arial" w:eastAsia="Arial" w:hAnsi="Arial"/>
          <w:sz w:val="18"/>
          <w:szCs w:val="18"/>
          <w:b w:val="1"/>
          <w:bCs w:val="1"/>
          <w:color w:val="395796"/>
        </w:rPr>
        <w:t xml:space="preserve"> </w:t>
      </w:r>
      <w:r>
        <w:rPr>
          <w:rFonts w:ascii="Arial" w:cs="Arial" w:eastAsia="Arial" w:hAnsi="Arial"/>
          <w:sz w:val="18"/>
          <w:szCs w:val="18"/>
          <w:color w:val="000000"/>
        </w:rPr>
        <w:t>registered public accounting firm for 2026;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-147320</wp:posOffset>
            </wp:positionV>
            <wp:extent cx="609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9600" cy="8255"/>
                    </a:xfrm>
                    <a:prstGeom prst="rect">
                      <a:avLst/>
                    </a:prstGeom>
                    <a:noFill/>
                  </pic:spPr>
                </pic:pic>
              </a:graphicData>
            </a:graphic>
          </wp:anchor>
        </w:drawing>
      </w:r>
    </w:p>
    <w:p>
      <w:pPr>
        <w:jc w:val="both"/>
        <w:ind w:left="220" w:right="60" w:hanging="215"/>
        <w:spacing w:after="0" w:line="200" w:lineRule="auto"/>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To transact such other business as may properly come before the annual meeting or any</w:t>
      </w:r>
      <w:r>
        <w:rPr>
          <w:rFonts w:ascii="Arial" w:cs="Arial" w:eastAsia="Arial" w:hAnsi="Arial"/>
          <w:sz w:val="35"/>
          <w:szCs w:val="35"/>
          <w:color w:val="auto"/>
          <w:vertAlign w:val="superscript"/>
        </w:rPr>
        <w:t>​</w:t>
      </w:r>
      <w:r>
        <w:rPr>
          <w:rFonts w:ascii="Arial" w:cs="Arial" w:eastAsia="Arial" w:hAnsi="Arial"/>
          <w:sz w:val="18"/>
          <w:szCs w:val="18"/>
          <w:color w:val="auto"/>
        </w:rPr>
        <w:t xml:space="preserve"> adjournment or postponement of the meeting.</w:t>
      </w:r>
    </w:p>
    <w:p>
      <w:pPr>
        <w:spacing w:after="0" w:line="19" w:lineRule="exact"/>
        <w:rPr>
          <w:sz w:val="20"/>
          <w:szCs w:val="20"/>
          <w:color w:val="auto"/>
        </w:rPr>
      </w:pPr>
    </w:p>
    <w:p>
      <w:pPr>
        <w:jc w:val="both"/>
        <w:ind w:left="220" w:right="60" w:hanging="215"/>
        <w:spacing w:after="0" w:line="204" w:lineRule="auto"/>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Our board of directors has fixed the close of business on Wednesday, April 15, 2026, as</w:t>
      </w:r>
      <w:r>
        <w:rPr>
          <w:rFonts w:ascii="Arial" w:cs="Arial" w:eastAsia="Arial" w:hAnsi="Arial"/>
          <w:sz w:val="33"/>
          <w:szCs w:val="33"/>
          <w:color w:val="auto"/>
          <w:vertAlign w:val="superscript"/>
        </w:rPr>
        <w:t>​</w:t>
      </w:r>
      <w:r>
        <w:rPr>
          <w:rFonts w:ascii="Arial" w:cs="Arial" w:eastAsia="Arial" w:hAnsi="Arial"/>
          <w:sz w:val="17"/>
          <w:szCs w:val="17"/>
          <w:color w:val="auto"/>
        </w:rPr>
        <w:t xml:space="preserve"> the record date for the determination of the stockholders entitled to receive notice of, and</w:t>
      </w:r>
    </w:p>
    <w:p>
      <w:pPr>
        <w:ind w:left="220"/>
        <w:spacing w:after="0" w:line="236" w:lineRule="auto"/>
        <w:rPr>
          <w:sz w:val="20"/>
          <w:szCs w:val="20"/>
          <w:color w:val="auto"/>
        </w:rPr>
      </w:pPr>
      <w:r>
        <w:rPr>
          <w:rFonts w:ascii="Arial" w:cs="Arial" w:eastAsia="Arial" w:hAnsi="Arial"/>
          <w:sz w:val="18"/>
          <w:szCs w:val="18"/>
          <w:color w:val="auto"/>
        </w:rPr>
        <w:t>to vote at, the annual meeting and any adjournment or postponement of the meeting.</w:t>
      </w:r>
    </w:p>
    <w:p>
      <w:pPr>
        <w:spacing w:after="0" w:line="1" w:lineRule="exact"/>
        <w:rPr>
          <w:sz w:val="20"/>
          <w:szCs w:val="20"/>
          <w:color w:val="auto"/>
        </w:rPr>
      </w:pPr>
    </w:p>
    <w:p>
      <w:pPr>
        <w:ind w:left="220" w:right="120"/>
        <w:spacing w:after="0"/>
        <w:rPr>
          <w:sz w:val="20"/>
          <w:szCs w:val="20"/>
          <w:color w:val="auto"/>
        </w:rPr>
      </w:pPr>
      <w:r>
        <w:rPr>
          <w:rFonts w:ascii="Arial" w:cs="Arial" w:eastAsia="Arial" w:hAnsi="Arial"/>
          <w:sz w:val="17"/>
          <w:szCs w:val="17"/>
          <w:color w:val="auto"/>
        </w:rPr>
        <w:t>Only stockholders of record on Wednesday, April 15, 2026, are entitled to receive notice of, and to vote at, the annual meeting or any adjournment or postponement of the</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meeting.</w:t>
      </w:r>
    </w:p>
    <w:p>
      <w:pPr>
        <w:spacing w:after="0" w:line="32" w:lineRule="exact"/>
        <w:rPr>
          <w:sz w:val="20"/>
          <w:szCs w:val="20"/>
          <w:color w:val="auto"/>
        </w:rPr>
      </w:pPr>
    </w:p>
    <w:p>
      <w:pPr>
        <w:jc w:val="right"/>
        <w:ind w:right="60"/>
        <w:spacing w:after="0" w:line="193" w:lineRule="auto"/>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Your vote is very important. Regardless of whether you plan to attend the annual</w:t>
      </w:r>
      <w:r>
        <w:rPr>
          <w:rFonts w:ascii="Arial" w:cs="Arial" w:eastAsia="Arial" w:hAnsi="Arial"/>
          <w:sz w:val="35"/>
          <w:szCs w:val="35"/>
          <w:color w:val="auto"/>
          <w:vertAlign w:val="superscript"/>
        </w:rPr>
        <w:t>​</w:t>
      </w:r>
      <w:r>
        <w:rPr>
          <w:rFonts w:ascii="Arial" w:cs="Arial" w:eastAsia="Arial" w:hAnsi="Arial"/>
          <w:sz w:val="18"/>
          <w:szCs w:val="18"/>
          <w:color w:val="auto"/>
        </w:rPr>
        <w:t xml:space="preserve"> meeting, we hope you will vote as soon as possible. You may vote your shares by mail,</w:t>
      </w:r>
    </w:p>
    <w:p>
      <w:pPr>
        <w:ind w:left="220"/>
        <w:spacing w:after="0" w:line="235" w:lineRule="auto"/>
        <w:rPr>
          <w:sz w:val="20"/>
          <w:szCs w:val="20"/>
          <w:color w:val="auto"/>
        </w:rPr>
      </w:pPr>
      <w:r>
        <w:rPr>
          <w:rFonts w:ascii="Arial" w:cs="Arial" w:eastAsia="Arial" w:hAnsi="Arial"/>
          <w:sz w:val="18"/>
          <w:szCs w:val="18"/>
          <w:color w:val="auto"/>
        </w:rPr>
        <w:t>over the Internet, via a toll-free telephone number or in person by attending the meeting.</w:t>
      </w:r>
    </w:p>
    <w:p>
      <w:pPr>
        <w:jc w:val="both"/>
        <w:ind w:left="220" w:right="100"/>
        <w:spacing w:after="0" w:line="226" w:lineRule="auto"/>
        <w:rPr>
          <w:sz w:val="20"/>
          <w:szCs w:val="20"/>
          <w:color w:val="auto"/>
        </w:rPr>
      </w:pPr>
      <w:r>
        <w:rPr>
          <w:rFonts w:ascii="Arial" w:cs="Arial" w:eastAsia="Arial" w:hAnsi="Arial"/>
          <w:sz w:val="18"/>
          <w:szCs w:val="18"/>
          <w:color w:val="auto"/>
        </w:rPr>
        <w:t>If you received a paper copy of a proxy card or voting instruction form by mail, you may submit your proxy card or voting instruction form for the annual meeting by completing,</w:t>
      </w:r>
    </w:p>
    <w:p>
      <w:pPr>
        <w:ind w:left="220"/>
        <w:spacing w:after="0" w:line="236" w:lineRule="auto"/>
        <w:rPr>
          <w:sz w:val="20"/>
          <w:szCs w:val="20"/>
          <w:color w:val="auto"/>
        </w:rPr>
      </w:pPr>
      <w:r>
        <w:rPr>
          <w:rFonts w:ascii="Arial" w:cs="Arial" w:eastAsia="Arial" w:hAnsi="Arial"/>
          <w:sz w:val="18"/>
          <w:szCs w:val="18"/>
          <w:color w:val="auto"/>
        </w:rPr>
        <w:t>signing, dating, and returning your proxy card or voting instruction form in the postage-</w:t>
      </w:r>
    </w:p>
    <w:p>
      <w:pPr>
        <w:spacing w:after="0" w:line="1" w:lineRule="exact"/>
        <w:rPr>
          <w:sz w:val="20"/>
          <w:szCs w:val="20"/>
          <w:color w:val="auto"/>
        </w:rPr>
      </w:pPr>
    </w:p>
    <w:p>
      <w:pPr>
        <w:ind w:left="220" w:right="120"/>
        <w:spacing w:after="0" w:line="226" w:lineRule="auto"/>
        <w:rPr>
          <w:sz w:val="20"/>
          <w:szCs w:val="20"/>
          <w:color w:val="auto"/>
        </w:rPr>
      </w:pPr>
      <w:r>
        <w:rPr>
          <w:rFonts w:ascii="Arial" w:cs="Arial" w:eastAsia="Arial" w:hAnsi="Arial"/>
          <w:sz w:val="18"/>
          <w:szCs w:val="18"/>
          <w:color w:val="auto"/>
        </w:rPr>
        <w:t>paid envelope provided. For specific instructions on how to vote your shares, please refer to the section entitled “Questions and Answers About the Annual Meeting of</w:t>
      </w:r>
    </w:p>
    <w:p>
      <w:pPr>
        <w:ind w:left="220"/>
        <w:spacing w:after="0" w:line="236" w:lineRule="auto"/>
        <w:rPr>
          <w:sz w:val="20"/>
          <w:szCs w:val="20"/>
          <w:color w:val="auto"/>
        </w:rPr>
      </w:pPr>
      <w:r>
        <w:rPr>
          <w:rFonts w:ascii="Arial" w:cs="Arial" w:eastAsia="Arial" w:hAnsi="Arial"/>
          <w:sz w:val="18"/>
          <w:szCs w:val="18"/>
          <w:color w:val="auto"/>
        </w:rPr>
        <w:t xml:space="preserve">Stockholders and Voting” beginning on page </w:t>
      </w:r>
      <w:r>
        <w:rPr>
          <w:rFonts w:ascii="Arial" w:cs="Arial" w:eastAsia="Arial" w:hAnsi="Arial"/>
          <w:sz w:val="18"/>
          <w:szCs w:val="18"/>
          <w:u w:val="single" w:color="auto"/>
          <w:color w:val="0000EE"/>
        </w:rPr>
        <w:t>5</w:t>
      </w:r>
      <w:r>
        <w:rPr>
          <w:rFonts w:ascii="Arial" w:cs="Arial" w:eastAsia="Arial" w:hAnsi="Arial"/>
          <w:sz w:val="18"/>
          <w:szCs w:val="18"/>
          <w:color w:val="auto"/>
        </w:rPr>
        <w:t xml:space="preserve"> of the accompanying proxy statement. If</w:t>
      </w:r>
    </w:p>
    <w:p>
      <w:pPr>
        <w:spacing w:after="0" w:line="1" w:lineRule="exact"/>
        <w:rPr>
          <w:sz w:val="20"/>
          <w:szCs w:val="20"/>
          <w:color w:val="auto"/>
        </w:rPr>
      </w:pPr>
    </w:p>
    <w:p>
      <w:pPr>
        <w:ind w:left="220" w:right="120"/>
        <w:spacing w:after="0"/>
        <w:rPr>
          <w:sz w:val="20"/>
          <w:szCs w:val="20"/>
          <w:color w:val="auto"/>
        </w:rPr>
      </w:pPr>
      <w:r>
        <w:rPr>
          <w:rFonts w:ascii="Arial" w:cs="Arial" w:eastAsia="Arial" w:hAnsi="Arial"/>
          <w:sz w:val="17"/>
          <w:szCs w:val="17"/>
          <w:color w:val="auto"/>
        </w:rPr>
        <w:t>you are the beneficial but not record owner of your shares (that is, you hold your shares in “street name” through an intermediary such as a broker), you will receive instructions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from your broker as to how to vote your shares.</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146050</wp:posOffset>
            </wp:positionV>
            <wp:extent cx="1311275" cy="762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275" cy="762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560"/>
            <w:col w:w="7260"/>
          </w:cols>
          <w:pgMar w:left="580" w:top="97"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400"/>
        <w:spacing w:after="0"/>
        <w:rPr>
          <w:sz w:val="20"/>
          <w:szCs w:val="20"/>
          <w:color w:val="auto"/>
        </w:rPr>
      </w:pPr>
      <w:r>
        <w:rPr>
          <w:rFonts w:ascii="Arial" w:cs="Arial" w:eastAsia="Arial" w:hAnsi="Arial"/>
          <w:sz w:val="16"/>
          <w:szCs w:val="16"/>
          <w:b w:val="1"/>
          <w:bCs w:val="1"/>
          <w:color w:val="auto"/>
        </w:rPr>
        <w:t>Felise Feingold</w:t>
      </w:r>
    </w:p>
    <w:p>
      <w:pPr>
        <w:spacing w:after="0" w:line="50"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Secretary</w:t>
      </w:r>
    </w:p>
    <w:p>
      <w:pPr>
        <w:spacing w:after="0" w:line="99"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1230630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120"/>
          </w:cols>
          <w:pgMar w:left="580" w:top="97" w:right="119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287020</wp:posOffset>
            </wp:positionV>
            <wp:extent cx="5940425" cy="2879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40425" cy="287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720" w:type="dxa"/>
        <w:tblCellMar>
          <w:top w:w="0" w:type="dxa"/>
          <w:left w:w="0" w:type="dxa"/>
          <w:bottom w:w="0" w:type="dxa"/>
          <w:right w:w="0" w:type="dxa"/>
        </w:tblCellMar>
      </w:tblPr>
      <w:tr>
        <w:trPr>
          <w:trHeight w:val="287"/>
        </w:trPr>
        <w:tc>
          <w:tcPr>
            <w:tcW w:w="80" w:type="dxa"/>
            <w:vAlign w:val="bottom"/>
          </w:tcPr>
          <w:p>
            <w:pPr>
              <w:spacing w:after="0"/>
              <w:rPr>
                <w:sz w:val="24"/>
                <w:szCs w:val="24"/>
                <w:color w:val="auto"/>
              </w:rPr>
            </w:pPr>
          </w:p>
        </w:tc>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4580" w:type="dxa"/>
            <w:vAlign w:val="bottom"/>
            <w:gridSpan w:val="2"/>
          </w:tcPr>
          <w:p>
            <w:pPr>
              <w:ind w:left="1060"/>
              <w:spacing w:after="0"/>
              <w:rPr>
                <w:sz w:val="20"/>
                <w:szCs w:val="20"/>
                <w:color w:val="auto"/>
              </w:rPr>
            </w:pPr>
            <w:r>
              <w:rPr>
                <w:rFonts w:ascii="Arial" w:cs="Arial" w:eastAsia="Arial" w:hAnsi="Arial"/>
                <w:sz w:val="18"/>
                <w:szCs w:val="18"/>
                <w:b w:val="1"/>
                <w:bCs w:val="1"/>
                <w:color w:val="auto"/>
              </w:rPr>
              <w:t>YOUR VOTE IS IMPORTANT</w:t>
            </w:r>
          </w:p>
        </w:tc>
        <w:tc>
          <w:tcPr>
            <w:tcW w:w="2220" w:type="dxa"/>
            <w:vAlign w:val="bottom"/>
          </w:tcPr>
          <w:p>
            <w:pPr>
              <w:ind w:left="2180"/>
              <w:spacing w:after="0"/>
              <w:rPr>
                <w:sz w:val="20"/>
                <w:szCs w:val="20"/>
                <w:color w:val="auto"/>
              </w:rPr>
            </w:pPr>
            <w:r>
              <w:rPr>
                <w:rFonts w:ascii="Arial" w:cs="Arial" w:eastAsia="Arial" w:hAnsi="Arial"/>
                <w:sz w:val="18"/>
                <w:szCs w:val="18"/>
                <w:b w:val="1"/>
                <w:bCs w:val="1"/>
                <w:color w:val="auto"/>
              </w:rPr>
              <w:t>​</w:t>
            </w:r>
          </w:p>
        </w:tc>
      </w:tr>
      <w:tr>
        <w:trPr>
          <w:trHeight w:val="310"/>
        </w:trPr>
        <w:tc>
          <w:tcPr>
            <w:tcW w:w="8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Arial" w:cs="Arial" w:eastAsia="Arial" w:hAnsi="Arial"/>
                <w:sz w:val="14"/>
                <w:szCs w:val="14"/>
                <w:b w:val="1"/>
                <w:bCs w:val="1"/>
                <w:color w:val="auto"/>
              </w:rPr>
              <w:t>Mail</w:t>
            </w:r>
          </w:p>
        </w:tc>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Telephone</w:t>
            </w:r>
          </w:p>
        </w:tc>
        <w:tc>
          <w:tcPr>
            <w:tcW w:w="2280" w:type="dxa"/>
            <w:vAlign w:val="bottom"/>
          </w:tcPr>
          <w:p>
            <w:pPr>
              <w:ind w:left="20"/>
              <w:spacing w:after="0"/>
              <w:rPr>
                <w:sz w:val="20"/>
                <w:szCs w:val="20"/>
                <w:color w:val="auto"/>
              </w:rPr>
            </w:pPr>
            <w:r>
              <w:rPr>
                <w:rFonts w:ascii="Arial" w:cs="Arial" w:eastAsia="Arial" w:hAnsi="Arial"/>
                <w:sz w:val="14"/>
                <w:szCs w:val="14"/>
                <w:b w:val="1"/>
                <w:bCs w:val="1"/>
                <w:color w:val="auto"/>
              </w:rPr>
              <w:t>Internet</w:t>
            </w:r>
          </w:p>
        </w:tc>
        <w:tc>
          <w:tcPr>
            <w:tcW w:w="2220" w:type="dxa"/>
            <w:vAlign w:val="bottom"/>
          </w:tcPr>
          <w:p>
            <w:pPr>
              <w:ind w:left="40"/>
              <w:spacing w:after="0"/>
              <w:rPr>
                <w:sz w:val="20"/>
                <w:szCs w:val="20"/>
                <w:color w:val="auto"/>
              </w:rPr>
            </w:pPr>
            <w:r>
              <w:rPr>
                <w:rFonts w:ascii="Arial" w:cs="Arial" w:eastAsia="Arial" w:hAnsi="Arial"/>
                <w:sz w:val="14"/>
                <w:szCs w:val="14"/>
                <w:b w:val="1"/>
                <w:bCs w:val="1"/>
                <w:color w:val="auto"/>
              </w:rPr>
              <w:t>In Person</w:t>
            </w:r>
          </w:p>
        </w:tc>
      </w:tr>
      <w:tr>
        <w:trPr>
          <w:trHeight w:val="452"/>
        </w:trPr>
        <w:tc>
          <w:tcPr>
            <w:tcW w:w="80" w:type="dxa"/>
            <w:vAlign w:val="bottom"/>
          </w:tcPr>
          <w:p>
            <w:pPr>
              <w:spacing w:after="0"/>
              <w:rPr>
                <w:sz w:val="20"/>
                <w:szCs w:val="20"/>
                <w:color w:val="auto"/>
              </w:rPr>
            </w:pPr>
            <w:r>
              <w:rPr>
                <w:rFonts w:ascii="Arial" w:cs="Arial" w:eastAsia="Arial" w:hAnsi="Arial"/>
                <w:sz w:val="14"/>
                <w:szCs w:val="14"/>
                <w:b w:val="1"/>
                <w:bCs w:val="1"/>
                <w:color w:val="auto"/>
              </w:rPr>
              <w:t>​</w:t>
            </w:r>
          </w:p>
        </w:tc>
        <w:tc>
          <w:tcPr>
            <w:tcW w:w="2400" w:type="dxa"/>
            <w:vAlign w:val="bottom"/>
          </w:tcPr>
          <w:p>
            <w:pPr>
              <w:ind w:left="2220"/>
              <w:spacing w:after="0"/>
              <w:rPr>
                <w:sz w:val="20"/>
                <w:szCs w:val="20"/>
                <w:color w:val="auto"/>
              </w:rPr>
            </w:pPr>
            <w:r>
              <w:rPr>
                <w:rFonts w:ascii="Arial" w:cs="Arial" w:eastAsia="Arial" w:hAnsi="Arial"/>
                <w:sz w:val="14"/>
                <w:szCs w:val="14"/>
                <w:b w:val="1"/>
                <w:bCs w:val="1"/>
                <w:color w:val="auto"/>
              </w:rPr>
              <w:t>​ ​</w:t>
            </w:r>
          </w:p>
        </w:tc>
        <w:tc>
          <w:tcPr>
            <w:tcW w:w="2300" w:type="dxa"/>
            <w:vAlign w:val="bottom"/>
          </w:tcPr>
          <w:p>
            <w:pPr>
              <w:ind w:left="2120"/>
              <w:spacing w:after="0"/>
              <w:rPr>
                <w:sz w:val="20"/>
                <w:szCs w:val="20"/>
                <w:color w:val="auto"/>
              </w:rPr>
            </w:pPr>
            <w:r>
              <w:rPr>
                <w:rFonts w:ascii="Arial" w:cs="Arial" w:eastAsia="Arial" w:hAnsi="Arial"/>
                <w:sz w:val="14"/>
                <w:szCs w:val="14"/>
                <w:b w:val="1"/>
                <w:bCs w:val="1"/>
                <w:color w:val="auto"/>
              </w:rPr>
              <w:t>​ ​</w:t>
            </w:r>
          </w:p>
        </w:tc>
        <w:tc>
          <w:tcPr>
            <w:tcW w:w="2280" w:type="dxa"/>
            <w:vAlign w:val="bottom"/>
          </w:tcPr>
          <w:p>
            <w:pPr>
              <w:ind w:left="2100"/>
              <w:spacing w:after="0"/>
              <w:rPr>
                <w:sz w:val="20"/>
                <w:szCs w:val="20"/>
                <w:color w:val="auto"/>
              </w:rPr>
            </w:pPr>
            <w:r>
              <w:rPr>
                <w:rFonts w:ascii="Arial" w:cs="Arial" w:eastAsia="Arial" w:hAnsi="Arial"/>
                <w:sz w:val="14"/>
                <w:szCs w:val="14"/>
                <w:b w:val="1"/>
                <w:bCs w:val="1"/>
                <w:color w:val="auto"/>
              </w:rPr>
              <w:t>​ ​</w:t>
            </w:r>
          </w:p>
        </w:tc>
        <w:tc>
          <w:tcPr>
            <w:tcW w:w="2220" w:type="dxa"/>
            <w:vAlign w:val="bottom"/>
          </w:tcPr>
          <w:p>
            <w:pPr>
              <w:ind w:left="2120"/>
              <w:spacing w:after="0"/>
              <w:rPr>
                <w:sz w:val="20"/>
                <w:szCs w:val="20"/>
                <w:color w:val="auto"/>
              </w:rPr>
            </w:pPr>
            <w:r>
              <w:rPr>
                <w:rFonts w:ascii="Arial" w:cs="Arial" w:eastAsia="Arial" w:hAnsi="Arial"/>
                <w:sz w:val="14"/>
                <w:szCs w:val="14"/>
                <w:b w:val="1"/>
                <w:bCs w:val="1"/>
                <w:color w:val="auto"/>
              </w:rPr>
              <w:t>​</w:t>
            </w:r>
          </w:p>
        </w:tc>
      </w:tr>
      <w:tr>
        <w:trPr>
          <w:trHeight w:val="189"/>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2400" w:type="dxa"/>
            <w:vAlign w:val="bottom"/>
          </w:tcPr>
          <w:p>
            <w:pPr>
              <w:ind w:left="140"/>
              <w:spacing w:after="0" w:line="189" w:lineRule="exact"/>
              <w:rPr>
                <w:sz w:val="20"/>
                <w:szCs w:val="20"/>
                <w:color w:val="auto"/>
              </w:rPr>
            </w:pPr>
            <w:r>
              <w:rPr>
                <w:rFonts w:ascii="Arial" w:cs="Arial" w:eastAsia="Arial" w:hAnsi="Arial"/>
                <w:sz w:val="12"/>
                <w:szCs w:val="12"/>
                <w:color w:val="auto"/>
              </w:rPr>
              <w:t>Please complete, sign and return</w:t>
            </w:r>
            <w:r>
              <w:rPr>
                <w:rFonts w:ascii="Arial" w:cs="Arial" w:eastAsia="Arial" w:hAnsi="Arial"/>
                <w:sz w:val="21"/>
                <w:szCs w:val="21"/>
                <w:color w:val="auto"/>
                <w:vertAlign w:val="superscript"/>
              </w:rPr>
              <w:t>​ ​</w:t>
            </w:r>
          </w:p>
        </w:tc>
        <w:tc>
          <w:tcPr>
            <w:tcW w:w="2300" w:type="dxa"/>
            <w:vAlign w:val="bottom"/>
          </w:tcPr>
          <w:p>
            <w:pPr>
              <w:ind w:left="40"/>
              <w:spacing w:after="0" w:line="189" w:lineRule="exact"/>
              <w:rPr>
                <w:sz w:val="20"/>
                <w:szCs w:val="20"/>
                <w:color w:val="auto"/>
              </w:rPr>
            </w:pPr>
            <w:r>
              <w:rPr>
                <w:rFonts w:ascii="Arial" w:cs="Arial" w:eastAsia="Arial" w:hAnsi="Arial"/>
                <w:sz w:val="12"/>
                <w:szCs w:val="12"/>
                <w:color w:val="auto"/>
              </w:rPr>
              <w:t>Use   the   toll-free   telephone</w:t>
            </w:r>
            <w:r>
              <w:rPr>
                <w:rFonts w:ascii="Arial" w:cs="Arial" w:eastAsia="Arial" w:hAnsi="Arial"/>
                <w:sz w:val="21"/>
                <w:szCs w:val="21"/>
                <w:color w:val="auto"/>
                <w:vertAlign w:val="superscript"/>
              </w:rPr>
              <w:t>​ ​</w:t>
            </w:r>
          </w:p>
        </w:tc>
        <w:tc>
          <w:tcPr>
            <w:tcW w:w="2280" w:type="dxa"/>
            <w:vAlign w:val="bottom"/>
          </w:tcPr>
          <w:p>
            <w:pPr>
              <w:ind w:left="20"/>
              <w:spacing w:after="0" w:line="189" w:lineRule="exact"/>
              <w:rPr>
                <w:sz w:val="20"/>
                <w:szCs w:val="20"/>
                <w:color w:val="auto"/>
              </w:rPr>
            </w:pPr>
            <w:r>
              <w:rPr>
                <w:rFonts w:ascii="Arial" w:cs="Arial" w:eastAsia="Arial" w:hAnsi="Arial"/>
                <w:sz w:val="12"/>
                <w:szCs w:val="12"/>
                <w:color w:val="auto"/>
              </w:rPr>
              <w:t>Visit the website noted on your</w:t>
            </w:r>
            <w:r>
              <w:rPr>
                <w:rFonts w:ascii="Arial" w:cs="Arial" w:eastAsia="Arial" w:hAnsi="Arial"/>
                <w:sz w:val="21"/>
                <w:szCs w:val="21"/>
                <w:color w:val="auto"/>
                <w:vertAlign w:val="superscript"/>
              </w:rPr>
              <w:t>​ ​</w:t>
            </w:r>
          </w:p>
        </w:tc>
        <w:tc>
          <w:tcPr>
            <w:tcW w:w="2220" w:type="dxa"/>
            <w:vAlign w:val="bottom"/>
          </w:tcPr>
          <w:p>
            <w:pPr>
              <w:ind w:left="40"/>
              <w:spacing w:after="0" w:line="189" w:lineRule="exact"/>
              <w:rPr>
                <w:sz w:val="20"/>
                <w:szCs w:val="20"/>
                <w:color w:val="auto"/>
              </w:rPr>
            </w:pPr>
            <w:r>
              <w:rPr>
                <w:rFonts w:ascii="Arial" w:cs="Arial" w:eastAsia="Arial" w:hAnsi="Arial"/>
                <w:sz w:val="12"/>
                <w:szCs w:val="12"/>
                <w:color w:val="auto"/>
              </w:rPr>
              <w:t>Vote by attending the meeting</w:t>
            </w:r>
            <w:r>
              <w:rPr>
                <w:rFonts w:ascii="Arial" w:cs="Arial" w:eastAsia="Arial" w:hAnsi="Arial"/>
                <w:sz w:val="21"/>
                <w:szCs w:val="21"/>
                <w:color w:val="auto"/>
                <w:vertAlign w:val="superscript"/>
              </w:rPr>
              <w:t>​</w:t>
            </w:r>
          </w:p>
        </w:tc>
      </w:tr>
      <w:tr>
        <w:trPr>
          <w:trHeight w:val="144"/>
        </w:trPr>
        <w:tc>
          <w:tcPr>
            <w:tcW w:w="80" w:type="dxa"/>
            <w:vAlign w:val="bottom"/>
          </w:tcPr>
          <w:p>
            <w:pPr>
              <w:spacing w:after="0"/>
              <w:rPr>
                <w:sz w:val="12"/>
                <w:szCs w:val="12"/>
                <w:color w:val="auto"/>
              </w:rPr>
            </w:pPr>
          </w:p>
        </w:tc>
        <w:tc>
          <w:tcPr>
            <w:tcW w:w="2400" w:type="dxa"/>
            <w:vAlign w:val="bottom"/>
          </w:tcPr>
          <w:p>
            <w:pPr>
              <w:ind w:left="140"/>
              <w:spacing w:after="0" w:line="145" w:lineRule="exact"/>
              <w:rPr>
                <w:sz w:val="20"/>
                <w:szCs w:val="20"/>
                <w:color w:val="auto"/>
              </w:rPr>
            </w:pPr>
            <w:r>
              <w:rPr>
                <w:rFonts w:ascii="Arial" w:cs="Arial" w:eastAsia="Arial" w:hAnsi="Arial"/>
                <w:sz w:val="14"/>
                <w:szCs w:val="14"/>
                <w:color w:val="auto"/>
              </w:rPr>
              <w:t>the enclosed proxy card, whether</w:t>
            </w:r>
          </w:p>
        </w:tc>
        <w:tc>
          <w:tcPr>
            <w:tcW w:w="2300" w:type="dxa"/>
            <w:vAlign w:val="bottom"/>
          </w:tcPr>
          <w:p>
            <w:pPr>
              <w:ind w:left="40"/>
              <w:spacing w:after="0" w:line="145" w:lineRule="exact"/>
              <w:rPr>
                <w:sz w:val="20"/>
                <w:szCs w:val="20"/>
                <w:color w:val="auto"/>
              </w:rPr>
            </w:pPr>
            <w:r>
              <w:rPr>
                <w:rFonts w:ascii="Arial" w:cs="Arial" w:eastAsia="Arial" w:hAnsi="Arial"/>
                <w:sz w:val="14"/>
                <w:szCs w:val="14"/>
                <w:color w:val="auto"/>
              </w:rPr>
              <w:t>number on your proxy card to</w:t>
            </w:r>
          </w:p>
        </w:tc>
        <w:tc>
          <w:tcPr>
            <w:tcW w:w="2280" w:type="dxa"/>
            <w:vAlign w:val="bottom"/>
          </w:tcPr>
          <w:p>
            <w:pPr>
              <w:ind w:left="20"/>
              <w:spacing w:after="0" w:line="145" w:lineRule="exact"/>
              <w:rPr>
                <w:sz w:val="20"/>
                <w:szCs w:val="20"/>
                <w:color w:val="auto"/>
              </w:rPr>
            </w:pPr>
            <w:r>
              <w:rPr>
                <w:rFonts w:ascii="Arial" w:cs="Arial" w:eastAsia="Arial" w:hAnsi="Arial"/>
                <w:sz w:val="14"/>
                <w:szCs w:val="14"/>
                <w:color w:val="auto"/>
              </w:rPr>
              <w:t>proxy  card  to  vote  via  the</w:t>
            </w:r>
          </w:p>
        </w:tc>
        <w:tc>
          <w:tcPr>
            <w:tcW w:w="2220" w:type="dxa"/>
            <w:vAlign w:val="bottom"/>
          </w:tcPr>
          <w:p>
            <w:pPr>
              <w:ind w:left="40"/>
              <w:spacing w:after="0" w:line="145" w:lineRule="exact"/>
              <w:rPr>
                <w:sz w:val="20"/>
                <w:szCs w:val="20"/>
                <w:color w:val="auto"/>
              </w:rPr>
            </w:pPr>
            <w:r>
              <w:rPr>
                <w:rFonts w:ascii="Arial" w:cs="Arial" w:eastAsia="Arial" w:hAnsi="Arial"/>
                <w:sz w:val="14"/>
                <w:szCs w:val="14"/>
                <w:color w:val="auto"/>
              </w:rPr>
              <w:t>and casting a ballot in person.</w:t>
            </w:r>
          </w:p>
        </w:tc>
      </w:tr>
      <w:tr>
        <w:trPr>
          <w:trHeight w:val="139"/>
        </w:trPr>
        <w:tc>
          <w:tcPr>
            <w:tcW w:w="80" w:type="dxa"/>
            <w:vAlign w:val="bottom"/>
          </w:tcPr>
          <w:p>
            <w:pPr>
              <w:spacing w:after="0"/>
              <w:rPr>
                <w:sz w:val="12"/>
                <w:szCs w:val="12"/>
                <w:color w:val="auto"/>
              </w:rPr>
            </w:pPr>
          </w:p>
        </w:tc>
        <w:tc>
          <w:tcPr>
            <w:tcW w:w="2400" w:type="dxa"/>
            <w:vAlign w:val="bottom"/>
          </w:tcPr>
          <w:p>
            <w:pPr>
              <w:ind w:left="140"/>
              <w:spacing w:after="0" w:line="139" w:lineRule="exact"/>
              <w:rPr>
                <w:sz w:val="20"/>
                <w:szCs w:val="20"/>
                <w:color w:val="auto"/>
              </w:rPr>
            </w:pPr>
            <w:r>
              <w:rPr>
                <w:rFonts w:ascii="Arial" w:cs="Arial" w:eastAsia="Arial" w:hAnsi="Arial"/>
                <w:sz w:val="14"/>
                <w:szCs w:val="14"/>
                <w:color w:val="auto"/>
              </w:rPr>
              <w:t>or not you plan to attend the</w:t>
            </w:r>
          </w:p>
        </w:tc>
        <w:tc>
          <w:tcPr>
            <w:tcW w:w="2300" w:type="dxa"/>
            <w:vAlign w:val="bottom"/>
          </w:tcPr>
          <w:p>
            <w:pPr>
              <w:ind w:left="40"/>
              <w:spacing w:after="0" w:line="139" w:lineRule="exact"/>
              <w:rPr>
                <w:sz w:val="20"/>
                <w:szCs w:val="20"/>
                <w:color w:val="auto"/>
              </w:rPr>
            </w:pPr>
            <w:r>
              <w:rPr>
                <w:rFonts w:ascii="Arial" w:cs="Arial" w:eastAsia="Arial" w:hAnsi="Arial"/>
                <w:sz w:val="14"/>
                <w:szCs w:val="14"/>
                <w:color w:val="auto"/>
              </w:rPr>
              <w:t>vote by telephone.</w:t>
            </w:r>
          </w:p>
        </w:tc>
        <w:tc>
          <w:tcPr>
            <w:tcW w:w="2280" w:type="dxa"/>
            <w:vAlign w:val="bottom"/>
          </w:tcPr>
          <w:p>
            <w:pPr>
              <w:ind w:left="20"/>
              <w:spacing w:after="0" w:line="139" w:lineRule="exact"/>
              <w:rPr>
                <w:sz w:val="20"/>
                <w:szCs w:val="20"/>
                <w:color w:val="auto"/>
              </w:rPr>
            </w:pPr>
            <w:r>
              <w:rPr>
                <w:rFonts w:ascii="Arial" w:cs="Arial" w:eastAsia="Arial" w:hAnsi="Arial"/>
                <w:sz w:val="14"/>
                <w:szCs w:val="14"/>
                <w:color w:val="auto"/>
              </w:rPr>
              <w:t>Internet.</w:t>
            </w:r>
          </w:p>
        </w:tc>
        <w:tc>
          <w:tcPr>
            <w:tcW w:w="2220" w:type="dxa"/>
            <w:vAlign w:val="bottom"/>
          </w:tcPr>
          <w:p>
            <w:pPr>
              <w:ind w:left="40"/>
              <w:spacing w:after="0" w:line="139" w:lineRule="exact"/>
              <w:rPr>
                <w:sz w:val="20"/>
                <w:szCs w:val="20"/>
                <w:color w:val="auto"/>
              </w:rPr>
            </w:pPr>
            <w:r>
              <w:rPr>
                <w:rFonts w:ascii="Arial" w:cs="Arial" w:eastAsia="Arial" w:hAnsi="Arial"/>
                <w:sz w:val="14"/>
                <w:szCs w:val="14"/>
                <w:color w:val="auto"/>
              </w:rPr>
              <w:t>You must be a record holder or</w:t>
            </w:r>
          </w:p>
        </w:tc>
      </w:tr>
      <w:tr>
        <w:trPr>
          <w:trHeight w:val="148"/>
        </w:trPr>
        <w:tc>
          <w:tcPr>
            <w:tcW w:w="80" w:type="dxa"/>
            <w:vAlign w:val="bottom"/>
          </w:tcPr>
          <w:p>
            <w:pPr>
              <w:spacing w:after="0"/>
              <w:rPr>
                <w:sz w:val="12"/>
                <w:szCs w:val="12"/>
                <w:color w:val="auto"/>
              </w:rPr>
            </w:pPr>
          </w:p>
        </w:tc>
        <w:tc>
          <w:tcPr>
            <w:tcW w:w="2400" w:type="dxa"/>
            <w:vAlign w:val="bottom"/>
          </w:tcPr>
          <w:p>
            <w:pPr>
              <w:ind w:left="140"/>
              <w:spacing w:after="0" w:line="149" w:lineRule="exact"/>
              <w:rPr>
                <w:sz w:val="20"/>
                <w:szCs w:val="20"/>
                <w:color w:val="auto"/>
              </w:rPr>
            </w:pPr>
            <w:r>
              <w:rPr>
                <w:rFonts w:ascii="Arial" w:cs="Arial" w:eastAsia="Arial" w:hAnsi="Arial"/>
                <w:sz w:val="14"/>
                <w:szCs w:val="14"/>
                <w:color w:val="auto"/>
              </w:rPr>
              <w:t>annual meeting.</w:t>
            </w:r>
          </w:p>
        </w:tc>
        <w:tc>
          <w:tcPr>
            <w:tcW w:w="2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20" w:type="dxa"/>
            <w:vAlign w:val="bottom"/>
          </w:tcPr>
          <w:p>
            <w:pPr>
              <w:ind w:left="40"/>
              <w:spacing w:after="0" w:line="149" w:lineRule="exact"/>
              <w:rPr>
                <w:sz w:val="20"/>
                <w:szCs w:val="20"/>
                <w:color w:val="auto"/>
              </w:rPr>
            </w:pPr>
            <w:r>
              <w:rPr>
                <w:rFonts w:ascii="Arial" w:cs="Arial" w:eastAsia="Arial" w:hAnsi="Arial"/>
                <w:sz w:val="14"/>
                <w:szCs w:val="14"/>
                <w:color w:val="auto"/>
              </w:rPr>
              <w:t>have a valid proxy from a record</w:t>
            </w:r>
          </w:p>
        </w:tc>
      </w:tr>
      <w:tr>
        <w:trPr>
          <w:trHeight w:val="166"/>
        </w:trPr>
        <w:tc>
          <w:tcPr>
            <w:tcW w:w="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Arial" w:cs="Arial" w:eastAsia="Arial" w:hAnsi="Arial"/>
                <w:sz w:val="14"/>
                <w:szCs w:val="14"/>
                <w:color w:val="auto"/>
              </w:rPr>
              <w:t>holder.</w:t>
            </w:r>
          </w:p>
        </w:tc>
      </w:tr>
      <w:tr>
        <w:trPr>
          <w:trHeight w:val="239"/>
        </w:trPr>
        <w:tc>
          <w:tcPr>
            <w:tcW w:w="80" w:type="dxa"/>
            <w:vAlign w:val="bottom"/>
          </w:tcPr>
          <w:p>
            <w:pPr>
              <w:spacing w:after="0"/>
              <w:rPr>
                <w:sz w:val="20"/>
                <w:szCs w:val="20"/>
                <w:color w:val="auto"/>
              </w:rPr>
            </w:pPr>
          </w:p>
        </w:tc>
        <w:tc>
          <w:tcPr>
            <w:tcW w:w="2400" w:type="dxa"/>
            <w:vAlign w:val="bottom"/>
          </w:tcPr>
          <w:p>
            <w:pPr>
              <w:ind w:left="2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20" w:type="dxa"/>
            <w:vAlign w:val="bottom"/>
          </w:tcPr>
          <w:p>
            <w:pPr>
              <w:ind w:left="2180"/>
              <w:spacing w:after="0"/>
              <w:rPr>
                <w:sz w:val="20"/>
                <w:szCs w:val="20"/>
                <w:color w:val="auto"/>
              </w:rPr>
            </w:pPr>
            <w:r>
              <w:rPr>
                <w:rFonts w:ascii="Arial" w:cs="Arial" w:eastAsia="Arial" w:hAnsi="Arial"/>
                <w:sz w:val="18"/>
                <w:szCs w:val="18"/>
                <w:color w:val="auto"/>
              </w:rPr>
              <w:t>​</w:t>
            </w:r>
          </w:p>
        </w:tc>
      </w:tr>
    </w:tbl>
    <w:p>
      <w:pPr>
        <w:spacing w:after="0" w:line="45" w:lineRule="exact"/>
        <w:rPr>
          <w:sz w:val="20"/>
          <w:szCs w:val="20"/>
          <w:color w:val="auto"/>
        </w:rPr>
      </w:pPr>
    </w:p>
    <w:p>
      <w:pPr>
        <w:ind w:left="2760" w:right="1920" w:firstLine="208"/>
        <w:spacing w:after="0" w:line="352"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 to be Held on June 10, 2026</w:t>
      </w:r>
    </w:p>
    <w:p>
      <w:pPr>
        <w:jc w:val="center"/>
        <w:ind w:right="-799"/>
        <w:spacing w:after="0"/>
        <w:rPr>
          <w:sz w:val="20"/>
          <w:szCs w:val="20"/>
          <w:color w:val="auto"/>
        </w:rPr>
      </w:pPr>
      <w:r>
        <w:rPr>
          <w:rFonts w:ascii="Arial" w:cs="Arial" w:eastAsia="Arial" w:hAnsi="Arial"/>
          <w:sz w:val="18"/>
          <w:szCs w:val="18"/>
          <w:color w:val="auto"/>
        </w:rPr>
        <w:t>This proxy statement and our 2025 annual report to stockholders are available on the Internet at</w:t>
      </w:r>
    </w:p>
    <w:p>
      <w:pPr>
        <w:spacing w:after="0" w:line="27" w:lineRule="exact"/>
        <w:rPr>
          <w:sz w:val="20"/>
          <w:szCs w:val="20"/>
          <w:color w:val="auto"/>
        </w:rPr>
      </w:pPr>
    </w:p>
    <w:p>
      <w:pPr>
        <w:jc w:val="center"/>
        <w:ind w:right="-839"/>
        <w:spacing w:after="0"/>
        <w:rPr>
          <w:sz w:val="20"/>
          <w:szCs w:val="20"/>
          <w:color w:val="auto"/>
        </w:rPr>
      </w:pPr>
      <w:r>
        <w:rPr>
          <w:rFonts w:ascii="Arial" w:cs="Arial" w:eastAsia="Arial" w:hAnsi="Arial"/>
          <w:sz w:val="18"/>
          <w:szCs w:val="18"/>
          <w:color w:val="395796"/>
        </w:rPr>
        <w:t>www.kvh.com/annual.</w:t>
      </w:r>
    </w:p>
    <w:p>
      <w:pPr>
        <w:spacing w:after="0" w:line="4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You can read, print, download and search these materials at that website.</w:t>
      </w:r>
    </w:p>
    <w:p>
      <w:pPr>
        <w:spacing w:after="0" w:line="2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The website does not use “cookies” or other tracking devices to identify visitors.</w:t>
      </w:r>
    </w:p>
    <w:p>
      <w:pPr>
        <w:spacing w:after="0" w:line="99" w:lineRule="exact"/>
        <w:rPr>
          <w:sz w:val="20"/>
          <w:szCs w:val="20"/>
          <w:color w:val="auto"/>
        </w:rPr>
      </w:pPr>
    </w:p>
    <w:p>
      <w:pPr>
        <w:jc w:val="center"/>
        <w:ind w:left="1420" w:right="360"/>
        <w:spacing w:after="0" w:line="287" w:lineRule="auto"/>
        <w:rPr>
          <w:sz w:val="20"/>
          <w:szCs w:val="20"/>
          <w:color w:val="auto"/>
        </w:rPr>
      </w:pPr>
      <w:r>
        <w:rPr>
          <w:rFonts w:ascii="Arial" w:cs="Arial" w:eastAsia="Arial" w:hAnsi="Arial"/>
          <w:sz w:val="18"/>
          <w:szCs w:val="18"/>
          <w:color w:val="auto"/>
        </w:rPr>
        <w:t>None of the information on our website or elsewhere on the Internet forms a part of this proxy statement or is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5556885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00"/>
          </w:cols>
          <w:pgMar w:left="580" w:top="97" w:right="131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386080</wp:posOffset>
            </wp:positionV>
            <wp:extent cx="10287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386080</wp:posOffset>
            </wp:positionV>
            <wp:extent cx="10223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235" cy="32575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7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32"/>
                <w:szCs w:val="32"/>
                <w:b w:val="1"/>
                <w:bCs w:val="1"/>
                <w:color w:val="FFFFFF"/>
              </w:rPr>
              <w:t>​</w:t>
            </w:r>
          </w:p>
        </w:tc>
        <w:tc>
          <w:tcPr>
            <w:tcW w:w="1040" w:type="dxa"/>
            <w:vAlign w:val="bottom"/>
            <w:shd w:val="clear" w:color="auto" w:fill="395796"/>
          </w:tcPr>
          <w:p>
            <w:pPr>
              <w:spacing w:after="0"/>
              <w:rPr>
                <w:sz w:val="24"/>
                <w:szCs w:val="24"/>
                <w:color w:val="auto"/>
              </w:rPr>
            </w:pPr>
          </w:p>
        </w:tc>
        <w:tc>
          <w:tcPr>
            <w:tcW w:w="80" w:type="dxa"/>
            <w:vAlign w:val="bottom"/>
            <w:shd w:val="clear" w:color="auto" w:fill="395796"/>
          </w:tcPr>
          <w:p>
            <w:pPr>
              <w:spacing w:after="0"/>
              <w:rPr>
                <w:sz w:val="24"/>
                <w:szCs w:val="24"/>
                <w:color w:val="auto"/>
              </w:rPr>
            </w:pPr>
          </w:p>
        </w:tc>
        <w:tc>
          <w:tcPr>
            <w:tcW w:w="200" w:type="dxa"/>
            <w:vAlign w:val="bottom"/>
            <w:shd w:val="clear" w:color="auto" w:fill="395796"/>
          </w:tcPr>
          <w:p>
            <w:pPr>
              <w:spacing w:after="0"/>
              <w:rPr>
                <w:sz w:val="24"/>
                <w:szCs w:val="24"/>
                <w:color w:val="auto"/>
              </w:rPr>
            </w:pPr>
          </w:p>
        </w:tc>
        <w:tc>
          <w:tcPr>
            <w:tcW w:w="40" w:type="dxa"/>
            <w:vAlign w:val="bottom"/>
            <w:shd w:val="clear" w:color="auto" w:fill="395796"/>
          </w:tcPr>
          <w:p>
            <w:pPr>
              <w:spacing w:after="0"/>
              <w:rPr>
                <w:sz w:val="24"/>
                <w:szCs w:val="24"/>
                <w:color w:val="auto"/>
              </w:rPr>
            </w:pPr>
          </w:p>
        </w:tc>
        <w:tc>
          <w:tcPr>
            <w:tcW w:w="300" w:type="dxa"/>
            <w:vAlign w:val="bottom"/>
            <w:shd w:val="clear" w:color="auto" w:fill="395796"/>
          </w:tcPr>
          <w:p>
            <w:pPr>
              <w:spacing w:after="0"/>
              <w:rPr>
                <w:sz w:val="24"/>
                <w:szCs w:val="24"/>
                <w:color w:val="auto"/>
              </w:rPr>
            </w:pPr>
          </w:p>
        </w:tc>
        <w:tc>
          <w:tcPr>
            <w:tcW w:w="20" w:type="dxa"/>
            <w:vAlign w:val="bottom"/>
            <w:shd w:val="clear" w:color="auto" w:fill="395796"/>
          </w:tcPr>
          <w:p>
            <w:pPr>
              <w:spacing w:after="0"/>
              <w:rPr>
                <w:sz w:val="24"/>
                <w:szCs w:val="24"/>
                <w:color w:val="auto"/>
              </w:rPr>
            </w:pPr>
          </w:p>
        </w:tc>
        <w:tc>
          <w:tcPr>
            <w:tcW w:w="20" w:type="dxa"/>
            <w:vAlign w:val="bottom"/>
            <w:shd w:val="clear" w:color="auto" w:fill="395796"/>
          </w:tcPr>
          <w:p>
            <w:pPr>
              <w:spacing w:after="0"/>
              <w:rPr>
                <w:sz w:val="24"/>
                <w:szCs w:val="24"/>
                <w:color w:val="auto"/>
              </w:rPr>
            </w:pPr>
          </w:p>
        </w:tc>
        <w:tc>
          <w:tcPr>
            <w:tcW w:w="20" w:type="dxa"/>
            <w:vAlign w:val="bottom"/>
            <w:shd w:val="clear" w:color="auto" w:fill="395796"/>
          </w:tcPr>
          <w:p>
            <w:pPr>
              <w:spacing w:after="0"/>
              <w:rPr>
                <w:sz w:val="24"/>
                <w:szCs w:val="24"/>
                <w:color w:val="auto"/>
              </w:rPr>
            </w:pPr>
          </w:p>
        </w:tc>
        <w:tc>
          <w:tcPr>
            <w:tcW w:w="100" w:type="dxa"/>
            <w:vAlign w:val="bottom"/>
            <w:shd w:val="clear" w:color="auto" w:fill="395796"/>
          </w:tcPr>
          <w:p>
            <w:pPr>
              <w:spacing w:after="0"/>
              <w:rPr>
                <w:sz w:val="24"/>
                <w:szCs w:val="24"/>
                <w:color w:val="auto"/>
              </w:rPr>
            </w:pPr>
          </w:p>
        </w:tc>
        <w:tc>
          <w:tcPr>
            <w:tcW w:w="20" w:type="dxa"/>
            <w:vAlign w:val="bottom"/>
            <w:shd w:val="clear" w:color="auto" w:fill="395796"/>
          </w:tcPr>
          <w:p>
            <w:pPr>
              <w:spacing w:after="0"/>
              <w:rPr>
                <w:sz w:val="24"/>
                <w:szCs w:val="24"/>
                <w:color w:val="auto"/>
              </w:rPr>
            </w:pPr>
          </w:p>
        </w:tc>
        <w:tc>
          <w:tcPr>
            <w:tcW w:w="80" w:type="dxa"/>
            <w:vAlign w:val="bottom"/>
            <w:shd w:val="clear" w:color="auto" w:fill="395796"/>
          </w:tcPr>
          <w:p>
            <w:pPr>
              <w:spacing w:after="0"/>
              <w:rPr>
                <w:sz w:val="24"/>
                <w:szCs w:val="24"/>
                <w:color w:val="auto"/>
              </w:rPr>
            </w:pPr>
          </w:p>
        </w:tc>
        <w:tc>
          <w:tcPr>
            <w:tcW w:w="120" w:type="dxa"/>
            <w:vAlign w:val="bottom"/>
            <w:shd w:val="clear" w:color="auto" w:fill="395796"/>
          </w:tcPr>
          <w:p>
            <w:pPr>
              <w:spacing w:after="0"/>
              <w:rPr>
                <w:sz w:val="24"/>
                <w:szCs w:val="24"/>
                <w:color w:val="auto"/>
              </w:rPr>
            </w:pPr>
          </w:p>
        </w:tc>
        <w:tc>
          <w:tcPr>
            <w:tcW w:w="200" w:type="dxa"/>
            <w:vAlign w:val="bottom"/>
            <w:shd w:val="clear" w:color="auto" w:fill="395796"/>
          </w:tcPr>
          <w:p>
            <w:pPr>
              <w:spacing w:after="0"/>
              <w:rPr>
                <w:sz w:val="24"/>
                <w:szCs w:val="24"/>
                <w:color w:val="auto"/>
              </w:rPr>
            </w:pPr>
          </w:p>
        </w:tc>
        <w:tc>
          <w:tcPr>
            <w:tcW w:w="60" w:type="dxa"/>
            <w:vAlign w:val="bottom"/>
            <w:shd w:val="clear" w:color="auto" w:fill="395796"/>
          </w:tcPr>
          <w:p>
            <w:pPr>
              <w:spacing w:after="0"/>
              <w:rPr>
                <w:sz w:val="24"/>
                <w:szCs w:val="24"/>
                <w:color w:val="auto"/>
              </w:rPr>
            </w:pPr>
          </w:p>
        </w:tc>
        <w:tc>
          <w:tcPr>
            <w:tcW w:w="20" w:type="dxa"/>
            <w:vAlign w:val="bottom"/>
            <w:shd w:val="clear" w:color="auto" w:fill="395796"/>
          </w:tcPr>
          <w:p>
            <w:pPr>
              <w:spacing w:after="0"/>
              <w:rPr>
                <w:sz w:val="24"/>
                <w:szCs w:val="24"/>
                <w:color w:val="auto"/>
              </w:rPr>
            </w:pPr>
          </w:p>
        </w:tc>
        <w:tc>
          <w:tcPr>
            <w:tcW w:w="80" w:type="dxa"/>
            <w:vAlign w:val="bottom"/>
            <w:shd w:val="clear" w:color="auto" w:fill="395796"/>
          </w:tcPr>
          <w:p>
            <w:pPr>
              <w:spacing w:after="0"/>
              <w:rPr>
                <w:sz w:val="24"/>
                <w:szCs w:val="24"/>
                <w:color w:val="auto"/>
              </w:rPr>
            </w:pPr>
          </w:p>
        </w:tc>
        <w:tc>
          <w:tcPr>
            <w:tcW w:w="300" w:type="dxa"/>
            <w:vAlign w:val="bottom"/>
            <w:shd w:val="clear" w:color="auto" w:fill="395796"/>
          </w:tcPr>
          <w:p>
            <w:pPr>
              <w:spacing w:after="0"/>
              <w:rPr>
                <w:sz w:val="24"/>
                <w:szCs w:val="24"/>
                <w:color w:val="auto"/>
              </w:rPr>
            </w:pPr>
          </w:p>
        </w:tc>
        <w:tc>
          <w:tcPr>
            <w:tcW w:w="80" w:type="dxa"/>
            <w:vAlign w:val="bottom"/>
            <w:shd w:val="clear" w:color="auto" w:fill="395796"/>
          </w:tcPr>
          <w:p>
            <w:pPr>
              <w:spacing w:after="0"/>
              <w:rPr>
                <w:sz w:val="24"/>
                <w:szCs w:val="24"/>
                <w:color w:val="auto"/>
              </w:rPr>
            </w:pPr>
          </w:p>
        </w:tc>
        <w:tc>
          <w:tcPr>
            <w:tcW w:w="80" w:type="dxa"/>
            <w:vAlign w:val="bottom"/>
            <w:shd w:val="clear" w:color="auto" w:fill="395796"/>
          </w:tcPr>
          <w:p>
            <w:pPr>
              <w:spacing w:after="0"/>
              <w:rPr>
                <w:sz w:val="24"/>
                <w:szCs w:val="24"/>
                <w:color w:val="auto"/>
              </w:rPr>
            </w:pPr>
          </w:p>
        </w:tc>
        <w:tc>
          <w:tcPr>
            <w:tcW w:w="140" w:type="dxa"/>
            <w:vAlign w:val="bottom"/>
            <w:shd w:val="clear" w:color="auto" w:fill="395796"/>
          </w:tcPr>
          <w:p>
            <w:pPr>
              <w:spacing w:after="0"/>
              <w:rPr>
                <w:sz w:val="24"/>
                <w:szCs w:val="24"/>
                <w:color w:val="auto"/>
              </w:rPr>
            </w:pPr>
          </w:p>
        </w:tc>
        <w:tc>
          <w:tcPr>
            <w:tcW w:w="340" w:type="dxa"/>
            <w:vAlign w:val="bottom"/>
            <w:shd w:val="clear" w:color="auto" w:fill="395796"/>
          </w:tcPr>
          <w:p>
            <w:pPr>
              <w:spacing w:after="0"/>
              <w:rPr>
                <w:sz w:val="24"/>
                <w:szCs w:val="24"/>
                <w:color w:val="auto"/>
              </w:rPr>
            </w:pPr>
          </w:p>
        </w:tc>
        <w:tc>
          <w:tcPr>
            <w:tcW w:w="40" w:type="dxa"/>
            <w:vAlign w:val="bottom"/>
            <w:shd w:val="clear" w:color="auto" w:fill="395796"/>
          </w:tcPr>
          <w:p>
            <w:pPr>
              <w:spacing w:after="0"/>
              <w:rPr>
                <w:sz w:val="24"/>
                <w:szCs w:val="24"/>
                <w:color w:val="auto"/>
              </w:rPr>
            </w:pPr>
          </w:p>
        </w:tc>
        <w:tc>
          <w:tcPr>
            <w:tcW w:w="4840" w:type="dxa"/>
            <w:vAlign w:val="bottom"/>
            <w:gridSpan w:val="12"/>
            <w:shd w:val="clear" w:color="auto" w:fill="395796"/>
          </w:tcPr>
          <w:p>
            <w:pPr>
              <w:ind w:left="20"/>
              <w:spacing w:after="0"/>
              <w:rPr>
                <w:sz w:val="20"/>
                <w:szCs w:val="20"/>
                <w:color w:val="auto"/>
              </w:rPr>
            </w:pPr>
            <w:r>
              <w:rPr>
                <w:rFonts w:ascii="Arial" w:cs="Arial" w:eastAsia="Arial" w:hAnsi="Arial"/>
                <w:sz w:val="18"/>
                <w:szCs w:val="18"/>
                <w:color w:val="FFFFFF"/>
              </w:rPr>
              <w:t>​</w:t>
            </w:r>
          </w:p>
        </w:tc>
        <w:tc>
          <w:tcPr>
            <w:tcW w:w="540" w:type="dxa"/>
            <w:vAlign w:val="bottom"/>
            <w:shd w:val="clear" w:color="auto" w:fill="395796"/>
          </w:tcPr>
          <w:p>
            <w:pPr>
              <w:spacing w:after="0"/>
              <w:rPr>
                <w:sz w:val="24"/>
                <w:szCs w:val="24"/>
                <w:color w:val="auto"/>
              </w:rPr>
            </w:pPr>
          </w:p>
        </w:tc>
        <w:tc>
          <w:tcPr>
            <w:tcW w:w="220" w:type="dxa"/>
            <w:vAlign w:val="bottom"/>
            <w:shd w:val="clear" w:color="auto" w:fill="395796"/>
          </w:tcPr>
          <w:p>
            <w:pPr>
              <w:spacing w:after="0"/>
              <w:rPr>
                <w:sz w:val="24"/>
                <w:szCs w:val="24"/>
                <w:color w:val="auto"/>
              </w:rPr>
            </w:pPr>
          </w:p>
        </w:tc>
        <w:tc>
          <w:tcPr>
            <w:tcW w:w="80" w:type="dxa"/>
            <w:vAlign w:val="bottom"/>
            <w:tcBorders>
              <w:right w:val="single" w:sz="8" w:color="395796"/>
            </w:tcBorders>
            <w:shd w:val="clear" w:color="auto" w:fill="395796"/>
          </w:tcPr>
          <w:p>
            <w:pPr>
              <w:spacing w:after="0"/>
              <w:rPr>
                <w:sz w:val="24"/>
                <w:szCs w:val="24"/>
                <w:color w:val="auto"/>
              </w:rPr>
            </w:pPr>
          </w:p>
        </w:tc>
        <w:tc>
          <w:tcPr>
            <w:tcW w:w="140" w:type="dxa"/>
            <w:vAlign w:val="bottom"/>
            <w:tcBorders>
              <w:right w:val="single" w:sz="8" w:color="395796"/>
            </w:tcBorders>
            <w:gridSpan w:val="2"/>
          </w:tcPr>
          <w:p>
            <w:pPr>
              <w:jc w:val="right"/>
              <w:spacing w:after="0"/>
              <w:rPr>
                <w:sz w:val="20"/>
                <w:szCs w:val="20"/>
                <w:color w:val="auto"/>
              </w:rPr>
            </w:pPr>
            <w:r>
              <w:rPr>
                <w:rFonts w:ascii="Arial" w:cs="Arial" w:eastAsia="Arial" w:hAnsi="Arial"/>
                <w:sz w:val="32"/>
                <w:szCs w:val="32"/>
                <w:b w:val="1"/>
                <w:bCs w:val="1"/>
                <w:color w:val="FFFFFF"/>
              </w:rPr>
              <w:t>​</w:t>
            </w:r>
          </w:p>
        </w:tc>
        <w:tc>
          <w:tcPr>
            <w:tcW w:w="700" w:type="dxa"/>
            <w:vAlign w:val="bottom"/>
            <w:tcBorders>
              <w:left w:val="single" w:sz="8" w:color="395796"/>
            </w:tcBorders>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20" w:type="dxa"/>
            <w:vAlign w:val="bottom"/>
            <w:gridSpan w:val="34"/>
            <w:shd w:val="clear" w:color="auto" w:fill="395796"/>
          </w:tcPr>
          <w:p>
            <w:pPr>
              <w:spacing w:after="0"/>
              <w:rPr>
                <w:sz w:val="20"/>
                <w:szCs w:val="20"/>
                <w:color w:val="auto"/>
              </w:rPr>
            </w:pPr>
            <w:r>
              <w:rPr>
                <w:rFonts w:ascii="Arial" w:cs="Arial" w:eastAsia="Arial" w:hAnsi="Arial"/>
                <w:sz w:val="32"/>
                <w:szCs w:val="32"/>
                <w:b w:val="1"/>
                <w:bCs w:val="1"/>
                <w:color w:val="FFFFFF"/>
              </w:rPr>
              <w:t>TABLE OF CONTENTS</w:t>
            </w:r>
          </w:p>
        </w:tc>
        <w:tc>
          <w:tcPr>
            <w:tcW w:w="540" w:type="dxa"/>
            <w:vAlign w:val="bottom"/>
            <w:shd w:val="clear" w:color="auto" w:fill="395796"/>
          </w:tcPr>
          <w:p>
            <w:pPr>
              <w:spacing w:after="0"/>
              <w:rPr>
                <w:sz w:val="24"/>
                <w:szCs w:val="24"/>
                <w:color w:val="auto"/>
              </w:rPr>
            </w:pPr>
          </w:p>
        </w:tc>
        <w:tc>
          <w:tcPr>
            <w:tcW w:w="220" w:type="dxa"/>
            <w:vAlign w:val="bottom"/>
            <w:shd w:val="clear" w:color="auto" w:fill="395796"/>
          </w:tcPr>
          <w:p>
            <w:pPr>
              <w:spacing w:after="0"/>
              <w:rPr>
                <w:sz w:val="24"/>
                <w:szCs w:val="24"/>
                <w:color w:val="auto"/>
              </w:rPr>
            </w:pPr>
          </w:p>
        </w:tc>
        <w:tc>
          <w:tcPr>
            <w:tcW w:w="80" w:type="dxa"/>
            <w:vAlign w:val="bottom"/>
            <w:tcBorders>
              <w:right w:val="single" w:sz="8" w:color="395796"/>
            </w:tcBorders>
            <w:shd w:val="clear" w:color="auto" w:fill="39579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right w:val="single" w:sz="8" w:color="395796"/>
            </w:tcBorders>
          </w:tcPr>
          <w:p>
            <w:pPr>
              <w:spacing w:after="0"/>
              <w:rPr>
                <w:sz w:val="24"/>
                <w:szCs w:val="24"/>
                <w:color w:val="auto"/>
              </w:rPr>
            </w:pPr>
          </w:p>
        </w:tc>
        <w:tc>
          <w:tcPr>
            <w:tcW w:w="700" w:type="dxa"/>
            <w:vAlign w:val="bottom"/>
            <w:tcBorders>
              <w:left w:val="single" w:sz="8" w:color="395796"/>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Arial" w:cs="Arial" w:eastAsia="Arial" w:hAnsi="Arial"/>
                <w:sz w:val="14"/>
                <w:szCs w:val="14"/>
                <w:b w:val="1"/>
                <w:bCs w:val="1"/>
                <w:color w:val="auto"/>
              </w:rPr>
              <w:t>​ ​</w:t>
            </w:r>
          </w:p>
        </w:tc>
        <w:tc>
          <w:tcPr>
            <w:tcW w:w="1140" w:type="dxa"/>
            <w:vAlign w:val="bottom"/>
            <w:gridSpan w:val="5"/>
          </w:tcPr>
          <w:p>
            <w:pPr>
              <w:ind w:left="60"/>
              <w:spacing w:after="0"/>
              <w:rPr>
                <w:sz w:val="20"/>
                <w:szCs w:val="20"/>
                <w:color w:val="auto"/>
              </w:rPr>
            </w:pPr>
            <w:r>
              <w:rPr>
                <w:rFonts w:ascii="Arial" w:cs="Arial" w:eastAsia="Arial" w:hAnsi="Arial"/>
                <w:sz w:val="14"/>
                <w:szCs w:val="14"/>
                <w:b w:val="1"/>
                <w:bCs w:val="1"/>
                <w:color w:val="auto"/>
              </w:rPr>
              <w:t xml:space="preserve">Page </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360" w:type="dxa"/>
            <w:vAlign w:val="bottom"/>
            <w:gridSpan w:val="14"/>
            <w:vMerge w:val="restart"/>
          </w:tcPr>
          <w:p>
            <w:pPr>
              <w:spacing w:after="0"/>
              <w:rPr>
                <w:sz w:val="20"/>
                <w:szCs w:val="20"/>
                <w:color w:val="auto"/>
              </w:rPr>
            </w:pPr>
            <w:r>
              <w:rPr>
                <w:rFonts w:ascii="Arial" w:cs="Arial" w:eastAsia="Arial" w:hAnsi="Arial"/>
                <w:sz w:val="20"/>
                <w:szCs w:val="20"/>
                <w:b w:val="1"/>
                <w:bCs w:val="1"/>
                <w:color w:val="395796"/>
                <w:w w:val="91"/>
              </w:rPr>
              <w:t>Proxy Statement Summary</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395796"/>
          </w:tcPr>
          <w:p>
            <w:pPr>
              <w:spacing w:after="0" w:line="20" w:lineRule="exact"/>
              <w:rPr>
                <w:sz w:val="1"/>
                <w:szCs w:val="1"/>
                <w:color w:val="auto"/>
              </w:rPr>
            </w:pPr>
          </w:p>
        </w:tc>
        <w:tc>
          <w:tcPr>
            <w:tcW w:w="80" w:type="dxa"/>
            <w:vAlign w:val="bottom"/>
            <w:tcBorders>
              <w:right w:val="single" w:sz="8" w:color="395796"/>
            </w:tcBorders>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120" w:type="dxa"/>
            <w:vAlign w:val="bottom"/>
            <w:tcBorders>
              <w:right w:val="single" w:sz="8" w:color="395796"/>
            </w:tcBorders>
            <w:shd w:val="clear" w:color="auto" w:fill="395796"/>
          </w:tcPr>
          <w:p>
            <w:pPr>
              <w:spacing w:after="0" w:line="20" w:lineRule="exact"/>
              <w:rPr>
                <w:sz w:val="1"/>
                <w:szCs w:val="1"/>
                <w:color w:val="auto"/>
              </w:rPr>
            </w:pPr>
          </w:p>
        </w:tc>
        <w:tc>
          <w:tcPr>
            <w:tcW w:w="700" w:type="dxa"/>
            <w:vAlign w:val="bottom"/>
            <w:tcBorders>
              <w:left w:val="single" w:sz="8" w:color="39579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00" w:type="dxa"/>
            <w:vAlign w:val="bottom"/>
          </w:tcPr>
          <w:p>
            <w:pPr>
              <w:spacing w:after="0"/>
              <w:rPr>
                <w:sz w:val="24"/>
                <w:szCs w:val="24"/>
                <w:color w:val="auto"/>
              </w:rPr>
            </w:pPr>
          </w:p>
        </w:tc>
        <w:tc>
          <w:tcPr>
            <w:tcW w:w="2360" w:type="dxa"/>
            <w:vAlign w:val="bottom"/>
            <w:tcBorders>
              <w:bottom w:val="single" w:sz="8" w:color="395796"/>
            </w:tcBorders>
            <w:gridSpan w:val="14"/>
            <w:vMerge w:val="continue"/>
          </w:tcPr>
          <w:p>
            <w:pPr>
              <w:spacing w:after="0"/>
              <w:rPr>
                <w:sz w:val="24"/>
                <w:szCs w:val="24"/>
                <w:color w:val="auto"/>
              </w:rPr>
            </w:pPr>
          </w:p>
        </w:tc>
        <w:tc>
          <w:tcPr>
            <w:tcW w:w="1140" w:type="dxa"/>
            <w:vAlign w:val="bottom"/>
            <w:gridSpan w:val="9"/>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8"/>
                <w:szCs w:val="18"/>
                <w:b w:val="1"/>
                <w:bCs w:val="1"/>
                <w:color w:val="0000EE"/>
                <w:w w:val="79"/>
              </w:rPr>
              <w:t>1</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1160" w:type="dxa"/>
            <w:vAlign w:val="bottom"/>
            <w:tcBorders>
              <w:bottom w:val="single" w:sz="8" w:color="395796"/>
            </w:tcBorders>
            <w:gridSpan w:val="2"/>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30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6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30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140" w:type="dxa"/>
            <w:vAlign w:val="bottom"/>
            <w:tcBorders>
              <w:bottom w:val="single" w:sz="8" w:color="395796"/>
            </w:tcBorders>
          </w:tcPr>
          <w:p>
            <w:pPr>
              <w:spacing w:after="0"/>
              <w:rPr>
                <w:sz w:val="4"/>
                <w:szCs w:val="4"/>
                <w:color w:val="auto"/>
              </w:rPr>
            </w:pPr>
          </w:p>
        </w:tc>
        <w:tc>
          <w:tcPr>
            <w:tcW w:w="34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gridSpan w:val="2"/>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28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6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1240" w:type="dxa"/>
            <w:vAlign w:val="bottom"/>
            <w:tcBorders>
              <w:bottom w:val="single" w:sz="8" w:color="395796"/>
            </w:tcBorders>
          </w:tcPr>
          <w:p>
            <w:pPr>
              <w:spacing w:after="0"/>
              <w:rPr>
                <w:sz w:val="4"/>
                <w:szCs w:val="4"/>
                <w:color w:val="auto"/>
              </w:rPr>
            </w:pPr>
          </w:p>
        </w:tc>
        <w:tc>
          <w:tcPr>
            <w:tcW w:w="1020" w:type="dxa"/>
            <w:vAlign w:val="bottom"/>
            <w:tcBorders>
              <w:bottom w:val="single" w:sz="8" w:color="395796"/>
            </w:tcBorders>
          </w:tcPr>
          <w:p>
            <w:pPr>
              <w:spacing w:after="0"/>
              <w:rPr>
                <w:sz w:val="4"/>
                <w:szCs w:val="4"/>
                <w:color w:val="auto"/>
              </w:rPr>
            </w:pPr>
          </w:p>
        </w:tc>
        <w:tc>
          <w:tcPr>
            <w:tcW w:w="1140" w:type="dxa"/>
            <w:vAlign w:val="bottom"/>
            <w:tcBorders>
              <w:bottom w:val="single" w:sz="8" w:color="395796"/>
            </w:tcBorders>
          </w:tcPr>
          <w:p>
            <w:pPr>
              <w:spacing w:after="0"/>
              <w:rPr>
                <w:sz w:val="4"/>
                <w:szCs w:val="4"/>
                <w:color w:val="auto"/>
              </w:rPr>
            </w:pPr>
          </w:p>
        </w:tc>
        <w:tc>
          <w:tcPr>
            <w:tcW w:w="360" w:type="dxa"/>
            <w:vAlign w:val="bottom"/>
            <w:tcBorders>
              <w:bottom w:val="single" w:sz="8" w:color="395796"/>
            </w:tcBorders>
          </w:tcPr>
          <w:p>
            <w:pPr>
              <w:spacing w:after="0"/>
              <w:rPr>
                <w:sz w:val="4"/>
                <w:szCs w:val="4"/>
                <w:color w:val="auto"/>
              </w:rPr>
            </w:pPr>
          </w:p>
        </w:tc>
        <w:tc>
          <w:tcPr>
            <w:tcW w:w="54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700" w:type="dxa"/>
            <w:vAlign w:val="bottom"/>
          </w:tcPr>
          <w:p>
            <w:pPr>
              <w:spacing w:after="0"/>
              <w:rPr>
                <w:sz w:val="24"/>
                <w:szCs w:val="24"/>
                <w:color w:val="auto"/>
              </w:rPr>
            </w:pPr>
          </w:p>
        </w:tc>
        <w:tc>
          <w:tcPr>
            <w:tcW w:w="6840" w:type="dxa"/>
            <w:vAlign w:val="bottom"/>
            <w:tcBorders>
              <w:bottom w:val="single" w:sz="8" w:color="395796"/>
            </w:tcBorders>
            <w:gridSpan w:val="33"/>
          </w:tcPr>
          <w:p>
            <w:pPr>
              <w:spacing w:after="0"/>
              <w:rPr>
                <w:sz w:val="20"/>
                <w:szCs w:val="20"/>
                <w:color w:val="auto"/>
              </w:rPr>
            </w:pPr>
            <w:r>
              <w:rPr>
                <w:rFonts w:ascii="Arial" w:cs="Arial" w:eastAsia="Arial" w:hAnsi="Arial"/>
                <w:sz w:val="20"/>
                <w:szCs w:val="20"/>
                <w:b w:val="1"/>
                <w:bCs w:val="1"/>
                <w:color w:val="395796"/>
                <w:w w:val="91"/>
              </w:rPr>
              <w:t>Questions and Answers About the Annual Meeting of Stockholders and Voting</w:t>
            </w:r>
          </w:p>
        </w:tc>
        <w:tc>
          <w:tcPr>
            <w:tcW w:w="150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8"/>
                <w:szCs w:val="18"/>
                <w:b w:val="1"/>
                <w:bCs w:val="1"/>
                <w:color w:val="0000EE"/>
                <w:w w:val="79"/>
              </w:rPr>
              <w:t>5</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1160" w:type="dxa"/>
            <w:vAlign w:val="bottom"/>
            <w:tcBorders>
              <w:bottom w:val="single" w:sz="8" w:color="395796"/>
            </w:tcBorders>
            <w:gridSpan w:val="2"/>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30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6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30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140" w:type="dxa"/>
            <w:vAlign w:val="bottom"/>
            <w:tcBorders>
              <w:bottom w:val="single" w:sz="8" w:color="395796"/>
            </w:tcBorders>
          </w:tcPr>
          <w:p>
            <w:pPr>
              <w:spacing w:after="0"/>
              <w:rPr>
                <w:sz w:val="4"/>
                <w:szCs w:val="4"/>
                <w:color w:val="auto"/>
              </w:rPr>
            </w:pPr>
          </w:p>
        </w:tc>
        <w:tc>
          <w:tcPr>
            <w:tcW w:w="34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6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28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6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1240" w:type="dxa"/>
            <w:vAlign w:val="bottom"/>
            <w:tcBorders>
              <w:bottom w:val="single" w:sz="8" w:color="395796"/>
            </w:tcBorders>
          </w:tcPr>
          <w:p>
            <w:pPr>
              <w:spacing w:after="0"/>
              <w:rPr>
                <w:sz w:val="4"/>
                <w:szCs w:val="4"/>
                <w:color w:val="auto"/>
              </w:rPr>
            </w:pPr>
          </w:p>
        </w:tc>
        <w:tc>
          <w:tcPr>
            <w:tcW w:w="1020" w:type="dxa"/>
            <w:vAlign w:val="bottom"/>
            <w:tcBorders>
              <w:bottom w:val="single" w:sz="8" w:color="395796"/>
            </w:tcBorders>
          </w:tcPr>
          <w:p>
            <w:pPr>
              <w:spacing w:after="0"/>
              <w:rPr>
                <w:sz w:val="4"/>
                <w:szCs w:val="4"/>
                <w:color w:val="auto"/>
              </w:rPr>
            </w:pPr>
          </w:p>
        </w:tc>
        <w:tc>
          <w:tcPr>
            <w:tcW w:w="1140" w:type="dxa"/>
            <w:vAlign w:val="bottom"/>
            <w:tcBorders>
              <w:bottom w:val="single" w:sz="8" w:color="395796"/>
            </w:tcBorders>
          </w:tcPr>
          <w:p>
            <w:pPr>
              <w:spacing w:after="0"/>
              <w:rPr>
                <w:sz w:val="4"/>
                <w:szCs w:val="4"/>
                <w:color w:val="auto"/>
              </w:rPr>
            </w:pPr>
          </w:p>
        </w:tc>
        <w:tc>
          <w:tcPr>
            <w:tcW w:w="360" w:type="dxa"/>
            <w:vAlign w:val="bottom"/>
            <w:tcBorders>
              <w:bottom w:val="single" w:sz="8" w:color="395796"/>
            </w:tcBorders>
          </w:tcPr>
          <w:p>
            <w:pPr>
              <w:spacing w:after="0"/>
              <w:rPr>
                <w:sz w:val="4"/>
                <w:szCs w:val="4"/>
                <w:color w:val="auto"/>
              </w:rPr>
            </w:pPr>
          </w:p>
        </w:tc>
        <w:tc>
          <w:tcPr>
            <w:tcW w:w="54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1"/>
        </w:trPr>
        <w:tc>
          <w:tcPr>
            <w:tcW w:w="700" w:type="dxa"/>
            <w:vAlign w:val="bottom"/>
          </w:tcPr>
          <w:p>
            <w:pPr>
              <w:spacing w:after="0"/>
              <w:rPr>
                <w:sz w:val="24"/>
                <w:szCs w:val="24"/>
                <w:color w:val="auto"/>
              </w:rPr>
            </w:pPr>
          </w:p>
        </w:tc>
        <w:tc>
          <w:tcPr>
            <w:tcW w:w="2900" w:type="dxa"/>
            <w:vAlign w:val="bottom"/>
            <w:tcBorders>
              <w:bottom w:val="single" w:sz="8" w:color="395796"/>
            </w:tcBorders>
            <w:gridSpan w:val="19"/>
          </w:tcPr>
          <w:p>
            <w:pPr>
              <w:spacing w:after="0"/>
              <w:rPr>
                <w:sz w:val="20"/>
                <w:szCs w:val="20"/>
                <w:color w:val="auto"/>
              </w:rPr>
            </w:pPr>
            <w:r>
              <w:rPr>
                <w:rFonts w:ascii="Arial" w:cs="Arial" w:eastAsia="Arial" w:hAnsi="Arial"/>
                <w:sz w:val="20"/>
                <w:szCs w:val="20"/>
                <w:b w:val="1"/>
                <w:bCs w:val="1"/>
                <w:color w:val="395796"/>
                <w:w w:val="90"/>
              </w:rPr>
              <w:t>Proposal 1 – Election of Directors</w:t>
            </w:r>
          </w:p>
        </w:tc>
        <w:tc>
          <w:tcPr>
            <w:tcW w:w="600" w:type="dxa"/>
            <w:vAlign w:val="bottom"/>
            <w:gridSpan w:val="4"/>
            <w:vMerge w:val="restart"/>
          </w:tcPr>
          <w:p>
            <w:pPr>
              <w:spacing w:after="0"/>
              <w:rPr>
                <w:sz w:val="20"/>
                <w:szCs w:val="20"/>
                <w:color w:val="auto"/>
              </w:rPr>
            </w:pPr>
            <w:r>
              <w:rPr>
                <w:rFonts w:ascii="Arial" w:cs="Arial" w:eastAsia="Arial" w:hAnsi="Arial"/>
                <w:sz w:val="18"/>
                <w:szCs w:val="18"/>
                <w:color w:val="395796"/>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vMerge w:val="restart"/>
          </w:tcPr>
          <w:p>
            <w:pPr>
              <w:ind w:left="320"/>
              <w:spacing w:after="0"/>
              <w:rPr>
                <w:sz w:val="20"/>
                <w:szCs w:val="20"/>
                <w:color w:val="auto"/>
              </w:rPr>
            </w:pPr>
            <w:r>
              <w:rPr>
                <w:rFonts w:ascii="Arial" w:cs="Arial" w:eastAsia="Arial" w:hAnsi="Arial"/>
                <w:sz w:val="20"/>
                <w:szCs w:val="20"/>
                <w:b w:val="1"/>
                <w:bCs w:val="1"/>
                <w:color w:val="auto"/>
              </w:rPr>
              <w:t>​ ​</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8"/>
                <w:szCs w:val="18"/>
                <w:b w:val="1"/>
                <w:bCs w:val="1"/>
                <w:color w:val="0000EE"/>
                <w:w w:val="79"/>
              </w:rPr>
              <w:t>7</w:t>
            </w:r>
          </w:p>
        </w:tc>
        <w:tc>
          <w:tcPr>
            <w:tcW w:w="700" w:type="dxa"/>
            <w:vAlign w:val="bottom"/>
            <w:vMerge w:val="restart"/>
          </w:tcPr>
          <w:p>
            <w:pPr>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4"/>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60" w:type="dxa"/>
            <w:vAlign w:val="bottom"/>
            <w:gridSpan w:val="2"/>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200" w:type="dxa"/>
            <w:vAlign w:val="bottom"/>
            <w:shd w:val="clear" w:color="auto" w:fill="395796"/>
          </w:tcPr>
          <w:p>
            <w:pPr>
              <w:spacing w:after="0" w:line="20" w:lineRule="exact"/>
              <w:rPr>
                <w:sz w:val="1"/>
                <w:szCs w:val="1"/>
                <w:color w:val="auto"/>
              </w:rPr>
            </w:pPr>
          </w:p>
        </w:tc>
        <w:tc>
          <w:tcPr>
            <w:tcW w:w="40" w:type="dxa"/>
            <w:vAlign w:val="bottom"/>
            <w:shd w:val="clear" w:color="auto" w:fill="395796"/>
          </w:tcPr>
          <w:p>
            <w:pPr>
              <w:spacing w:after="0" w:line="20" w:lineRule="exact"/>
              <w:rPr>
                <w:sz w:val="1"/>
                <w:szCs w:val="1"/>
                <w:color w:val="auto"/>
              </w:rPr>
            </w:pPr>
          </w:p>
        </w:tc>
        <w:tc>
          <w:tcPr>
            <w:tcW w:w="30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10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120" w:type="dxa"/>
            <w:vAlign w:val="bottom"/>
            <w:shd w:val="clear" w:color="auto" w:fill="395796"/>
          </w:tcPr>
          <w:p>
            <w:pPr>
              <w:spacing w:after="0" w:line="20" w:lineRule="exact"/>
              <w:rPr>
                <w:sz w:val="1"/>
                <w:szCs w:val="1"/>
                <w:color w:val="auto"/>
              </w:rPr>
            </w:pPr>
          </w:p>
        </w:tc>
        <w:tc>
          <w:tcPr>
            <w:tcW w:w="200" w:type="dxa"/>
            <w:vAlign w:val="bottom"/>
            <w:shd w:val="clear" w:color="auto" w:fill="395796"/>
          </w:tcPr>
          <w:p>
            <w:pPr>
              <w:spacing w:after="0" w:line="20" w:lineRule="exact"/>
              <w:rPr>
                <w:sz w:val="1"/>
                <w:szCs w:val="1"/>
                <w:color w:val="auto"/>
              </w:rPr>
            </w:pPr>
          </w:p>
        </w:tc>
        <w:tc>
          <w:tcPr>
            <w:tcW w:w="6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300" w:type="dxa"/>
            <w:vAlign w:val="bottom"/>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140" w:type="dxa"/>
            <w:vAlign w:val="bottom"/>
            <w:shd w:val="clear" w:color="auto" w:fill="395796"/>
          </w:tcPr>
          <w:p>
            <w:pPr>
              <w:spacing w:after="0" w:line="20" w:lineRule="exact"/>
              <w:rPr>
                <w:sz w:val="1"/>
                <w:szCs w:val="1"/>
                <w:color w:val="auto"/>
              </w:rPr>
            </w:pPr>
          </w:p>
        </w:tc>
        <w:tc>
          <w:tcPr>
            <w:tcW w:w="340" w:type="dxa"/>
            <w:vAlign w:val="bottom"/>
            <w:shd w:val="clear" w:color="auto" w:fill="395796"/>
          </w:tcPr>
          <w:p>
            <w:pPr>
              <w:spacing w:after="0" w:line="20" w:lineRule="exact"/>
              <w:rPr>
                <w:sz w:val="1"/>
                <w:szCs w:val="1"/>
                <w:color w:val="auto"/>
              </w:rPr>
            </w:pPr>
          </w:p>
        </w:tc>
        <w:tc>
          <w:tcPr>
            <w:tcW w:w="100" w:type="dxa"/>
            <w:vAlign w:val="bottom"/>
            <w:gridSpan w:val="2"/>
            <w:shd w:val="clear" w:color="auto" w:fill="395796"/>
          </w:tcPr>
          <w:p>
            <w:pPr>
              <w:spacing w:after="0" w:line="20" w:lineRule="exact"/>
              <w:rPr>
                <w:sz w:val="1"/>
                <w:szCs w:val="1"/>
                <w:color w:val="auto"/>
              </w:rPr>
            </w:pPr>
          </w:p>
        </w:tc>
        <w:tc>
          <w:tcPr>
            <w:tcW w:w="100" w:type="dxa"/>
            <w:vAlign w:val="bottom"/>
            <w:shd w:val="clear" w:color="auto" w:fill="395796"/>
          </w:tcPr>
          <w:p>
            <w:pPr>
              <w:spacing w:after="0" w:line="20" w:lineRule="exact"/>
              <w:rPr>
                <w:sz w:val="1"/>
                <w:szCs w:val="1"/>
                <w:color w:val="auto"/>
              </w:rPr>
            </w:pPr>
          </w:p>
        </w:tc>
        <w:tc>
          <w:tcPr>
            <w:tcW w:w="40" w:type="dxa"/>
            <w:vAlign w:val="bottom"/>
            <w:shd w:val="clear" w:color="auto" w:fill="395796"/>
          </w:tcPr>
          <w:p>
            <w:pPr>
              <w:spacing w:after="0" w:line="20" w:lineRule="exact"/>
              <w:rPr>
                <w:sz w:val="1"/>
                <w:szCs w:val="1"/>
                <w:color w:val="auto"/>
              </w:rPr>
            </w:pPr>
          </w:p>
        </w:tc>
        <w:tc>
          <w:tcPr>
            <w:tcW w:w="220" w:type="dxa"/>
            <w:vAlign w:val="bottom"/>
            <w:shd w:val="clear" w:color="auto" w:fill="395796"/>
          </w:tcPr>
          <w:p>
            <w:pPr>
              <w:spacing w:after="0" w:line="20" w:lineRule="exact"/>
              <w:rPr>
                <w:sz w:val="1"/>
                <w:szCs w:val="1"/>
                <w:color w:val="auto"/>
              </w:rPr>
            </w:pPr>
          </w:p>
        </w:tc>
        <w:tc>
          <w:tcPr>
            <w:tcW w:w="28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160" w:type="dxa"/>
            <w:vAlign w:val="bottom"/>
            <w:shd w:val="clear" w:color="auto" w:fill="395796"/>
          </w:tcPr>
          <w:p>
            <w:pPr>
              <w:spacing w:after="0" w:line="20" w:lineRule="exact"/>
              <w:rPr>
                <w:sz w:val="1"/>
                <w:szCs w:val="1"/>
                <w:color w:val="auto"/>
              </w:rPr>
            </w:pPr>
          </w:p>
        </w:tc>
        <w:tc>
          <w:tcPr>
            <w:tcW w:w="200" w:type="dxa"/>
            <w:vAlign w:val="bottom"/>
            <w:shd w:val="clear" w:color="auto" w:fill="395796"/>
          </w:tcPr>
          <w:p>
            <w:pPr>
              <w:spacing w:after="0" w:line="20" w:lineRule="exact"/>
              <w:rPr>
                <w:sz w:val="1"/>
                <w:szCs w:val="1"/>
                <w:color w:val="auto"/>
              </w:rPr>
            </w:pPr>
          </w:p>
        </w:tc>
        <w:tc>
          <w:tcPr>
            <w:tcW w:w="1240" w:type="dxa"/>
            <w:vAlign w:val="bottom"/>
            <w:shd w:val="clear" w:color="auto" w:fill="395796"/>
          </w:tcPr>
          <w:p>
            <w:pPr>
              <w:spacing w:after="0" w:line="20" w:lineRule="exact"/>
              <w:rPr>
                <w:sz w:val="1"/>
                <w:szCs w:val="1"/>
                <w:color w:val="auto"/>
              </w:rPr>
            </w:pPr>
          </w:p>
        </w:tc>
        <w:tc>
          <w:tcPr>
            <w:tcW w:w="1020" w:type="dxa"/>
            <w:vAlign w:val="bottom"/>
            <w:shd w:val="clear" w:color="auto" w:fill="395796"/>
          </w:tcPr>
          <w:p>
            <w:pPr>
              <w:spacing w:after="0" w:line="20" w:lineRule="exact"/>
              <w:rPr>
                <w:sz w:val="1"/>
                <w:szCs w:val="1"/>
                <w:color w:val="auto"/>
              </w:rPr>
            </w:pPr>
          </w:p>
        </w:tc>
        <w:tc>
          <w:tcPr>
            <w:tcW w:w="1140" w:type="dxa"/>
            <w:vAlign w:val="bottom"/>
            <w:shd w:val="clear" w:color="auto" w:fill="395796"/>
          </w:tcPr>
          <w:p>
            <w:pPr>
              <w:spacing w:after="0" w:line="20" w:lineRule="exact"/>
              <w:rPr>
                <w:sz w:val="1"/>
                <w:szCs w:val="1"/>
                <w:color w:val="auto"/>
              </w:rPr>
            </w:pPr>
          </w:p>
        </w:tc>
        <w:tc>
          <w:tcPr>
            <w:tcW w:w="360" w:type="dxa"/>
            <w:vAlign w:val="bottom"/>
            <w:shd w:val="clear" w:color="auto" w:fill="395796"/>
          </w:tcPr>
          <w:p>
            <w:pPr>
              <w:spacing w:after="0" w:line="20" w:lineRule="exact"/>
              <w:rPr>
                <w:sz w:val="1"/>
                <w:szCs w:val="1"/>
                <w:color w:val="auto"/>
              </w:rPr>
            </w:pPr>
          </w:p>
        </w:tc>
        <w:tc>
          <w:tcPr>
            <w:tcW w:w="540" w:type="dxa"/>
            <w:vAlign w:val="bottom"/>
            <w:shd w:val="clear" w:color="auto" w:fill="395796"/>
          </w:tcPr>
          <w:p>
            <w:pPr>
              <w:spacing w:after="0" w:line="20" w:lineRule="exact"/>
              <w:rPr>
                <w:sz w:val="1"/>
                <w:szCs w:val="1"/>
                <w:color w:val="auto"/>
              </w:rPr>
            </w:pPr>
          </w:p>
        </w:tc>
        <w:tc>
          <w:tcPr>
            <w:tcW w:w="220" w:type="dxa"/>
            <w:vAlign w:val="bottom"/>
            <w:shd w:val="clear" w:color="auto" w:fill="395796"/>
          </w:tcPr>
          <w:p>
            <w:pPr>
              <w:spacing w:after="0" w:line="20" w:lineRule="exact"/>
              <w:rPr>
                <w:sz w:val="1"/>
                <w:szCs w:val="1"/>
                <w:color w:val="auto"/>
              </w:rPr>
            </w:pPr>
          </w:p>
        </w:tc>
        <w:tc>
          <w:tcPr>
            <w:tcW w:w="80" w:type="dxa"/>
            <w:vAlign w:val="bottom"/>
            <w:tcBorders>
              <w:right w:val="single" w:sz="8" w:color="395796"/>
            </w:tcBorders>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120" w:type="dxa"/>
            <w:vAlign w:val="bottom"/>
            <w:tcBorders>
              <w:right w:val="single" w:sz="8" w:color="395796"/>
            </w:tcBorders>
            <w:shd w:val="clear" w:color="auto" w:fill="395796"/>
          </w:tcPr>
          <w:p>
            <w:pPr>
              <w:spacing w:after="0" w:line="20" w:lineRule="exact"/>
              <w:rPr>
                <w:sz w:val="1"/>
                <w:szCs w:val="1"/>
                <w:color w:val="auto"/>
              </w:rPr>
            </w:pPr>
          </w:p>
        </w:tc>
        <w:tc>
          <w:tcPr>
            <w:tcW w:w="700" w:type="dxa"/>
            <w:vAlign w:val="bottom"/>
            <w:tcBorders>
              <w:left w:val="single" w:sz="8" w:color="39579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700" w:type="dxa"/>
            <w:vAlign w:val="bottom"/>
          </w:tcPr>
          <w:p>
            <w:pPr>
              <w:spacing w:after="0"/>
              <w:rPr>
                <w:sz w:val="24"/>
                <w:szCs w:val="24"/>
                <w:color w:val="auto"/>
              </w:rPr>
            </w:pPr>
          </w:p>
        </w:tc>
        <w:tc>
          <w:tcPr>
            <w:tcW w:w="3700" w:type="dxa"/>
            <w:vAlign w:val="bottom"/>
            <w:tcBorders>
              <w:bottom w:val="single" w:sz="8" w:color="395796"/>
            </w:tcBorders>
            <w:gridSpan w:val="26"/>
          </w:tcPr>
          <w:p>
            <w:pPr>
              <w:spacing w:after="0"/>
              <w:rPr>
                <w:sz w:val="20"/>
                <w:szCs w:val="20"/>
                <w:color w:val="auto"/>
              </w:rPr>
            </w:pPr>
            <w:r>
              <w:rPr>
                <w:rFonts w:ascii="Arial" w:cs="Arial" w:eastAsia="Arial" w:hAnsi="Arial"/>
                <w:sz w:val="20"/>
                <w:szCs w:val="20"/>
                <w:b w:val="1"/>
                <w:bCs w:val="1"/>
                <w:color w:val="395796"/>
                <w:w w:val="91"/>
              </w:rPr>
              <w:t>Proposal 2 – Non-Binding Say on Pay Vote</w:t>
            </w:r>
          </w:p>
        </w:tc>
        <w:tc>
          <w:tcPr>
            <w:tcW w:w="4640" w:type="dxa"/>
            <w:vAlign w:val="bottom"/>
            <w:gridSpan w:val="9"/>
            <w:vMerge w:val="restart"/>
          </w:tcPr>
          <w:p>
            <w:pPr>
              <w:spacing w:after="0"/>
              <w:rPr>
                <w:sz w:val="20"/>
                <w:szCs w:val="20"/>
                <w:color w:val="auto"/>
              </w:rPr>
            </w:pPr>
            <w:r>
              <w:rPr>
                <w:rFonts w:ascii="Arial" w:cs="Arial" w:eastAsia="Arial" w:hAnsi="Arial"/>
                <w:sz w:val="18"/>
                <w:szCs w:val="18"/>
                <w:color w:val="395796"/>
              </w:rPr>
              <w:t>​</w:t>
            </w:r>
          </w:p>
        </w:tc>
        <w:tc>
          <w:tcPr>
            <w:tcW w:w="540" w:type="dxa"/>
            <w:vAlign w:val="bottom"/>
            <w:vMerge w:val="restart"/>
          </w:tcPr>
          <w:p>
            <w:pPr>
              <w:ind w:left="320"/>
              <w:spacing w:after="0"/>
              <w:rPr>
                <w:sz w:val="20"/>
                <w:szCs w:val="20"/>
                <w:color w:val="auto"/>
              </w:rPr>
            </w:pPr>
            <w:r>
              <w:rPr>
                <w:rFonts w:ascii="Arial" w:cs="Arial" w:eastAsia="Arial" w:hAnsi="Arial"/>
                <w:sz w:val="20"/>
                <w:szCs w:val="20"/>
                <w:b w:val="1"/>
                <w:bCs w:val="1"/>
                <w:color w:val="auto"/>
              </w:rPr>
              <w:t>​ ​</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0000EE"/>
            </w:tcBorders>
          </w:tcPr>
          <w:p>
            <w:pPr>
              <w:jc w:val="right"/>
              <w:spacing w:after="0"/>
              <w:rPr>
                <w:sz w:val="20"/>
                <w:szCs w:val="20"/>
                <w:color w:val="auto"/>
              </w:rPr>
            </w:pPr>
            <w:r>
              <w:rPr>
                <w:rFonts w:ascii="Arial" w:cs="Arial" w:eastAsia="Arial" w:hAnsi="Arial"/>
                <w:sz w:val="18"/>
                <w:szCs w:val="18"/>
                <w:b w:val="1"/>
                <w:bCs w:val="1"/>
                <w:color w:val="0000EE"/>
                <w:w w:val="79"/>
              </w:rPr>
              <w:t>9</w:t>
            </w:r>
          </w:p>
        </w:tc>
        <w:tc>
          <w:tcPr>
            <w:tcW w:w="700" w:type="dxa"/>
            <w:vAlign w:val="bottom"/>
            <w:vMerge w:val="restart"/>
          </w:tcPr>
          <w:p>
            <w:pPr>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40" w:type="dxa"/>
            <w:vAlign w:val="bottom"/>
            <w:gridSpan w:val="9"/>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60" w:type="dxa"/>
            <w:vAlign w:val="bottom"/>
            <w:gridSpan w:val="2"/>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200" w:type="dxa"/>
            <w:vAlign w:val="bottom"/>
            <w:shd w:val="clear" w:color="auto" w:fill="395796"/>
          </w:tcPr>
          <w:p>
            <w:pPr>
              <w:spacing w:after="0" w:line="20" w:lineRule="exact"/>
              <w:rPr>
                <w:sz w:val="1"/>
                <w:szCs w:val="1"/>
                <w:color w:val="auto"/>
              </w:rPr>
            </w:pPr>
          </w:p>
        </w:tc>
        <w:tc>
          <w:tcPr>
            <w:tcW w:w="40" w:type="dxa"/>
            <w:vAlign w:val="bottom"/>
            <w:shd w:val="clear" w:color="auto" w:fill="395796"/>
          </w:tcPr>
          <w:p>
            <w:pPr>
              <w:spacing w:after="0" w:line="20" w:lineRule="exact"/>
              <w:rPr>
                <w:sz w:val="1"/>
                <w:szCs w:val="1"/>
                <w:color w:val="auto"/>
              </w:rPr>
            </w:pPr>
          </w:p>
        </w:tc>
        <w:tc>
          <w:tcPr>
            <w:tcW w:w="30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10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120" w:type="dxa"/>
            <w:vAlign w:val="bottom"/>
            <w:shd w:val="clear" w:color="auto" w:fill="395796"/>
          </w:tcPr>
          <w:p>
            <w:pPr>
              <w:spacing w:after="0" w:line="20" w:lineRule="exact"/>
              <w:rPr>
                <w:sz w:val="1"/>
                <w:szCs w:val="1"/>
                <w:color w:val="auto"/>
              </w:rPr>
            </w:pPr>
          </w:p>
        </w:tc>
        <w:tc>
          <w:tcPr>
            <w:tcW w:w="200" w:type="dxa"/>
            <w:vAlign w:val="bottom"/>
            <w:shd w:val="clear" w:color="auto" w:fill="395796"/>
          </w:tcPr>
          <w:p>
            <w:pPr>
              <w:spacing w:after="0" w:line="20" w:lineRule="exact"/>
              <w:rPr>
                <w:sz w:val="1"/>
                <w:szCs w:val="1"/>
                <w:color w:val="auto"/>
              </w:rPr>
            </w:pPr>
          </w:p>
        </w:tc>
        <w:tc>
          <w:tcPr>
            <w:tcW w:w="6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300" w:type="dxa"/>
            <w:vAlign w:val="bottom"/>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140" w:type="dxa"/>
            <w:vAlign w:val="bottom"/>
            <w:shd w:val="clear" w:color="auto" w:fill="395796"/>
          </w:tcPr>
          <w:p>
            <w:pPr>
              <w:spacing w:after="0" w:line="20" w:lineRule="exact"/>
              <w:rPr>
                <w:sz w:val="1"/>
                <w:szCs w:val="1"/>
                <w:color w:val="auto"/>
              </w:rPr>
            </w:pPr>
          </w:p>
        </w:tc>
        <w:tc>
          <w:tcPr>
            <w:tcW w:w="340" w:type="dxa"/>
            <w:vAlign w:val="bottom"/>
            <w:shd w:val="clear" w:color="auto" w:fill="395796"/>
          </w:tcPr>
          <w:p>
            <w:pPr>
              <w:spacing w:after="0" w:line="20" w:lineRule="exact"/>
              <w:rPr>
                <w:sz w:val="1"/>
                <w:szCs w:val="1"/>
                <w:color w:val="auto"/>
              </w:rPr>
            </w:pPr>
          </w:p>
        </w:tc>
        <w:tc>
          <w:tcPr>
            <w:tcW w:w="100" w:type="dxa"/>
            <w:vAlign w:val="bottom"/>
            <w:gridSpan w:val="2"/>
            <w:shd w:val="clear" w:color="auto" w:fill="395796"/>
          </w:tcPr>
          <w:p>
            <w:pPr>
              <w:spacing w:after="0" w:line="20" w:lineRule="exact"/>
              <w:rPr>
                <w:sz w:val="1"/>
                <w:szCs w:val="1"/>
                <w:color w:val="auto"/>
              </w:rPr>
            </w:pPr>
          </w:p>
        </w:tc>
        <w:tc>
          <w:tcPr>
            <w:tcW w:w="100" w:type="dxa"/>
            <w:vAlign w:val="bottom"/>
            <w:shd w:val="clear" w:color="auto" w:fill="395796"/>
          </w:tcPr>
          <w:p>
            <w:pPr>
              <w:spacing w:after="0" w:line="20" w:lineRule="exact"/>
              <w:rPr>
                <w:sz w:val="1"/>
                <w:szCs w:val="1"/>
                <w:color w:val="auto"/>
              </w:rPr>
            </w:pPr>
          </w:p>
        </w:tc>
        <w:tc>
          <w:tcPr>
            <w:tcW w:w="40" w:type="dxa"/>
            <w:vAlign w:val="bottom"/>
            <w:shd w:val="clear" w:color="auto" w:fill="395796"/>
          </w:tcPr>
          <w:p>
            <w:pPr>
              <w:spacing w:after="0" w:line="20" w:lineRule="exact"/>
              <w:rPr>
                <w:sz w:val="1"/>
                <w:szCs w:val="1"/>
                <w:color w:val="auto"/>
              </w:rPr>
            </w:pPr>
          </w:p>
        </w:tc>
        <w:tc>
          <w:tcPr>
            <w:tcW w:w="220" w:type="dxa"/>
            <w:vAlign w:val="bottom"/>
            <w:shd w:val="clear" w:color="auto" w:fill="395796"/>
          </w:tcPr>
          <w:p>
            <w:pPr>
              <w:spacing w:after="0" w:line="20" w:lineRule="exact"/>
              <w:rPr>
                <w:sz w:val="1"/>
                <w:szCs w:val="1"/>
                <w:color w:val="auto"/>
              </w:rPr>
            </w:pPr>
          </w:p>
        </w:tc>
        <w:tc>
          <w:tcPr>
            <w:tcW w:w="28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160" w:type="dxa"/>
            <w:vAlign w:val="bottom"/>
            <w:shd w:val="clear" w:color="auto" w:fill="395796"/>
          </w:tcPr>
          <w:p>
            <w:pPr>
              <w:spacing w:after="0" w:line="20" w:lineRule="exact"/>
              <w:rPr>
                <w:sz w:val="1"/>
                <w:szCs w:val="1"/>
                <w:color w:val="auto"/>
              </w:rPr>
            </w:pPr>
          </w:p>
        </w:tc>
        <w:tc>
          <w:tcPr>
            <w:tcW w:w="200" w:type="dxa"/>
            <w:vAlign w:val="bottom"/>
            <w:shd w:val="clear" w:color="auto" w:fill="395796"/>
          </w:tcPr>
          <w:p>
            <w:pPr>
              <w:spacing w:after="0" w:line="20" w:lineRule="exact"/>
              <w:rPr>
                <w:sz w:val="1"/>
                <w:szCs w:val="1"/>
                <w:color w:val="auto"/>
              </w:rPr>
            </w:pPr>
          </w:p>
        </w:tc>
        <w:tc>
          <w:tcPr>
            <w:tcW w:w="1240" w:type="dxa"/>
            <w:vAlign w:val="bottom"/>
            <w:shd w:val="clear" w:color="auto" w:fill="395796"/>
          </w:tcPr>
          <w:p>
            <w:pPr>
              <w:spacing w:after="0" w:line="20" w:lineRule="exact"/>
              <w:rPr>
                <w:sz w:val="1"/>
                <w:szCs w:val="1"/>
                <w:color w:val="auto"/>
              </w:rPr>
            </w:pPr>
          </w:p>
        </w:tc>
        <w:tc>
          <w:tcPr>
            <w:tcW w:w="1020" w:type="dxa"/>
            <w:vAlign w:val="bottom"/>
            <w:shd w:val="clear" w:color="auto" w:fill="395796"/>
          </w:tcPr>
          <w:p>
            <w:pPr>
              <w:spacing w:after="0" w:line="20" w:lineRule="exact"/>
              <w:rPr>
                <w:sz w:val="1"/>
                <w:szCs w:val="1"/>
                <w:color w:val="auto"/>
              </w:rPr>
            </w:pPr>
          </w:p>
        </w:tc>
        <w:tc>
          <w:tcPr>
            <w:tcW w:w="1140" w:type="dxa"/>
            <w:vAlign w:val="bottom"/>
            <w:shd w:val="clear" w:color="auto" w:fill="395796"/>
          </w:tcPr>
          <w:p>
            <w:pPr>
              <w:spacing w:after="0" w:line="20" w:lineRule="exact"/>
              <w:rPr>
                <w:sz w:val="1"/>
                <w:szCs w:val="1"/>
                <w:color w:val="auto"/>
              </w:rPr>
            </w:pPr>
          </w:p>
        </w:tc>
        <w:tc>
          <w:tcPr>
            <w:tcW w:w="360" w:type="dxa"/>
            <w:vAlign w:val="bottom"/>
            <w:shd w:val="clear" w:color="auto" w:fill="395796"/>
          </w:tcPr>
          <w:p>
            <w:pPr>
              <w:spacing w:after="0" w:line="20" w:lineRule="exact"/>
              <w:rPr>
                <w:sz w:val="1"/>
                <w:szCs w:val="1"/>
                <w:color w:val="auto"/>
              </w:rPr>
            </w:pPr>
          </w:p>
        </w:tc>
        <w:tc>
          <w:tcPr>
            <w:tcW w:w="540" w:type="dxa"/>
            <w:vAlign w:val="bottom"/>
            <w:shd w:val="clear" w:color="auto" w:fill="395796"/>
          </w:tcPr>
          <w:p>
            <w:pPr>
              <w:spacing w:after="0" w:line="20" w:lineRule="exact"/>
              <w:rPr>
                <w:sz w:val="1"/>
                <w:szCs w:val="1"/>
                <w:color w:val="auto"/>
              </w:rPr>
            </w:pPr>
          </w:p>
        </w:tc>
        <w:tc>
          <w:tcPr>
            <w:tcW w:w="220" w:type="dxa"/>
            <w:vAlign w:val="bottom"/>
            <w:shd w:val="clear" w:color="auto" w:fill="395796"/>
          </w:tcPr>
          <w:p>
            <w:pPr>
              <w:spacing w:after="0" w:line="20" w:lineRule="exact"/>
              <w:rPr>
                <w:sz w:val="1"/>
                <w:szCs w:val="1"/>
                <w:color w:val="auto"/>
              </w:rPr>
            </w:pPr>
          </w:p>
        </w:tc>
        <w:tc>
          <w:tcPr>
            <w:tcW w:w="80" w:type="dxa"/>
            <w:vAlign w:val="bottom"/>
            <w:tcBorders>
              <w:right w:val="single" w:sz="8" w:color="395796"/>
            </w:tcBorders>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120" w:type="dxa"/>
            <w:vAlign w:val="bottom"/>
            <w:tcBorders>
              <w:right w:val="single" w:sz="8" w:color="395796"/>
            </w:tcBorders>
            <w:shd w:val="clear" w:color="auto" w:fill="395796"/>
          </w:tcPr>
          <w:p>
            <w:pPr>
              <w:spacing w:after="0" w:line="20" w:lineRule="exact"/>
              <w:rPr>
                <w:sz w:val="1"/>
                <w:szCs w:val="1"/>
                <w:color w:val="auto"/>
              </w:rPr>
            </w:pPr>
          </w:p>
        </w:tc>
        <w:tc>
          <w:tcPr>
            <w:tcW w:w="700" w:type="dxa"/>
            <w:vAlign w:val="bottom"/>
            <w:tcBorders>
              <w:left w:val="single" w:sz="8" w:color="39579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700" w:type="dxa"/>
            <w:vAlign w:val="bottom"/>
          </w:tcPr>
          <w:p>
            <w:pPr>
              <w:spacing w:after="0"/>
              <w:rPr>
                <w:sz w:val="24"/>
                <w:szCs w:val="24"/>
                <w:color w:val="auto"/>
              </w:rPr>
            </w:pPr>
          </w:p>
        </w:tc>
        <w:tc>
          <w:tcPr>
            <w:tcW w:w="7980" w:type="dxa"/>
            <w:vAlign w:val="bottom"/>
            <w:tcBorders>
              <w:bottom w:val="single" w:sz="8" w:color="395796"/>
            </w:tcBorders>
            <w:gridSpan w:val="34"/>
          </w:tcPr>
          <w:p>
            <w:pPr>
              <w:spacing w:after="0"/>
              <w:rPr>
                <w:sz w:val="20"/>
                <w:szCs w:val="20"/>
                <w:color w:val="auto"/>
              </w:rPr>
            </w:pPr>
            <w:r>
              <w:rPr>
                <w:rFonts w:ascii="Arial" w:cs="Arial" w:eastAsia="Arial" w:hAnsi="Arial"/>
                <w:sz w:val="20"/>
                <w:szCs w:val="20"/>
                <w:b w:val="1"/>
                <w:bCs w:val="1"/>
                <w:color w:val="395796"/>
                <w:w w:val="91"/>
              </w:rPr>
              <w:t>Proposal 3 – Ratification of Appointment of Independent Registered Public Accounting Firm</w:t>
            </w:r>
          </w:p>
        </w:tc>
        <w:tc>
          <w:tcPr>
            <w:tcW w:w="360" w:type="dxa"/>
            <w:vAlign w:val="bottom"/>
            <w:vMerge w:val="restart"/>
          </w:tcPr>
          <w:p>
            <w:pPr>
              <w:spacing w:after="0"/>
              <w:rPr>
                <w:sz w:val="20"/>
                <w:szCs w:val="20"/>
                <w:color w:val="auto"/>
              </w:rPr>
            </w:pPr>
            <w:r>
              <w:rPr>
                <w:rFonts w:ascii="Arial" w:cs="Arial" w:eastAsia="Arial" w:hAnsi="Arial"/>
                <w:sz w:val="18"/>
                <w:szCs w:val="18"/>
                <w:color w:val="395796"/>
              </w:rPr>
              <w:t>​</w:t>
            </w:r>
          </w:p>
        </w:tc>
        <w:tc>
          <w:tcPr>
            <w:tcW w:w="540" w:type="dxa"/>
            <w:vAlign w:val="bottom"/>
            <w:vMerge w:val="restart"/>
          </w:tcPr>
          <w:p>
            <w:pPr>
              <w:ind w:left="320"/>
              <w:spacing w:after="0"/>
              <w:rPr>
                <w:sz w:val="20"/>
                <w:szCs w:val="20"/>
                <w:color w:val="auto"/>
              </w:rPr>
            </w:pPr>
            <w:r>
              <w:rPr>
                <w:rFonts w:ascii="Arial" w:cs="Arial" w:eastAsia="Arial" w:hAnsi="Arial"/>
                <w:sz w:val="20"/>
                <w:szCs w:val="20"/>
                <w:b w:val="1"/>
                <w:bCs w:val="1"/>
                <w:color w:val="auto"/>
              </w:rPr>
              <w:t>​ ​</w:t>
            </w:r>
          </w:p>
        </w:tc>
        <w:tc>
          <w:tcPr>
            <w:tcW w:w="220" w:type="dxa"/>
            <w:vAlign w:val="bottom"/>
            <w:vMerge w:val="restart"/>
          </w:tcPr>
          <w:p>
            <w:pPr>
              <w:spacing w:after="0"/>
              <w:rPr>
                <w:sz w:val="24"/>
                <w:szCs w:val="24"/>
                <w:color w:val="auto"/>
              </w:rPr>
            </w:pPr>
          </w:p>
        </w:tc>
        <w:tc>
          <w:tcPr>
            <w:tcW w:w="80" w:type="dxa"/>
            <w:vAlign w:val="bottom"/>
            <w:vMerge w:val="restart"/>
          </w:tcPr>
          <w:p>
            <w:pPr>
              <w:spacing w:after="0"/>
              <w:rPr>
                <w:sz w:val="24"/>
                <w:szCs w:val="24"/>
                <w:color w:val="auto"/>
              </w:rPr>
            </w:pPr>
          </w:p>
        </w:tc>
        <w:tc>
          <w:tcPr>
            <w:tcW w:w="140" w:type="dxa"/>
            <w:vAlign w:val="bottom"/>
            <w:tcBorders>
              <w:bottom w:val="single" w:sz="8" w:color="0000EE"/>
            </w:tcBorders>
            <w:gridSpan w:val="2"/>
          </w:tcPr>
          <w:p>
            <w:pPr>
              <w:jc w:val="right"/>
              <w:spacing w:after="0"/>
              <w:rPr>
                <w:sz w:val="20"/>
                <w:szCs w:val="20"/>
                <w:color w:val="auto"/>
              </w:rPr>
            </w:pPr>
            <w:r>
              <w:rPr>
                <w:rFonts w:ascii="Arial" w:cs="Arial" w:eastAsia="Arial" w:hAnsi="Arial"/>
                <w:sz w:val="12"/>
                <w:szCs w:val="12"/>
                <w:b w:val="1"/>
                <w:bCs w:val="1"/>
                <w:color w:val="0000EE"/>
                <w:w w:val="74"/>
              </w:rPr>
              <w:t>12</w:t>
            </w:r>
          </w:p>
        </w:tc>
        <w:tc>
          <w:tcPr>
            <w:tcW w:w="700" w:type="dxa"/>
            <w:vAlign w:val="bottom"/>
            <w:vMerge w:val="restart"/>
          </w:tcPr>
          <w:p>
            <w:pPr>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36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40" w:type="dxa"/>
            <w:vAlign w:val="bottom"/>
            <w:gridSpan w:val="2"/>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60" w:type="dxa"/>
            <w:vAlign w:val="bottom"/>
            <w:gridSpan w:val="2"/>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200" w:type="dxa"/>
            <w:vAlign w:val="bottom"/>
            <w:shd w:val="clear" w:color="auto" w:fill="395796"/>
          </w:tcPr>
          <w:p>
            <w:pPr>
              <w:spacing w:after="0" w:line="20" w:lineRule="exact"/>
              <w:rPr>
                <w:sz w:val="1"/>
                <w:szCs w:val="1"/>
                <w:color w:val="auto"/>
              </w:rPr>
            </w:pPr>
          </w:p>
        </w:tc>
        <w:tc>
          <w:tcPr>
            <w:tcW w:w="40" w:type="dxa"/>
            <w:vAlign w:val="bottom"/>
            <w:shd w:val="clear" w:color="auto" w:fill="395796"/>
          </w:tcPr>
          <w:p>
            <w:pPr>
              <w:spacing w:after="0" w:line="20" w:lineRule="exact"/>
              <w:rPr>
                <w:sz w:val="1"/>
                <w:szCs w:val="1"/>
                <w:color w:val="auto"/>
              </w:rPr>
            </w:pPr>
          </w:p>
        </w:tc>
        <w:tc>
          <w:tcPr>
            <w:tcW w:w="30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10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120" w:type="dxa"/>
            <w:vAlign w:val="bottom"/>
            <w:shd w:val="clear" w:color="auto" w:fill="395796"/>
          </w:tcPr>
          <w:p>
            <w:pPr>
              <w:spacing w:after="0" w:line="20" w:lineRule="exact"/>
              <w:rPr>
                <w:sz w:val="1"/>
                <w:szCs w:val="1"/>
                <w:color w:val="auto"/>
              </w:rPr>
            </w:pPr>
          </w:p>
        </w:tc>
        <w:tc>
          <w:tcPr>
            <w:tcW w:w="200" w:type="dxa"/>
            <w:vAlign w:val="bottom"/>
            <w:shd w:val="clear" w:color="auto" w:fill="395796"/>
          </w:tcPr>
          <w:p>
            <w:pPr>
              <w:spacing w:after="0" w:line="20" w:lineRule="exact"/>
              <w:rPr>
                <w:sz w:val="1"/>
                <w:szCs w:val="1"/>
                <w:color w:val="auto"/>
              </w:rPr>
            </w:pPr>
          </w:p>
        </w:tc>
        <w:tc>
          <w:tcPr>
            <w:tcW w:w="6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300" w:type="dxa"/>
            <w:vAlign w:val="bottom"/>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80" w:type="dxa"/>
            <w:vAlign w:val="bottom"/>
            <w:shd w:val="clear" w:color="auto" w:fill="395796"/>
          </w:tcPr>
          <w:p>
            <w:pPr>
              <w:spacing w:after="0" w:line="20" w:lineRule="exact"/>
              <w:rPr>
                <w:sz w:val="1"/>
                <w:szCs w:val="1"/>
                <w:color w:val="auto"/>
              </w:rPr>
            </w:pPr>
          </w:p>
        </w:tc>
        <w:tc>
          <w:tcPr>
            <w:tcW w:w="140" w:type="dxa"/>
            <w:vAlign w:val="bottom"/>
            <w:shd w:val="clear" w:color="auto" w:fill="395796"/>
          </w:tcPr>
          <w:p>
            <w:pPr>
              <w:spacing w:after="0" w:line="20" w:lineRule="exact"/>
              <w:rPr>
                <w:sz w:val="1"/>
                <w:szCs w:val="1"/>
                <w:color w:val="auto"/>
              </w:rPr>
            </w:pPr>
          </w:p>
        </w:tc>
        <w:tc>
          <w:tcPr>
            <w:tcW w:w="340" w:type="dxa"/>
            <w:vAlign w:val="bottom"/>
            <w:shd w:val="clear" w:color="auto" w:fill="395796"/>
          </w:tcPr>
          <w:p>
            <w:pPr>
              <w:spacing w:after="0" w:line="20" w:lineRule="exact"/>
              <w:rPr>
                <w:sz w:val="1"/>
                <w:szCs w:val="1"/>
                <w:color w:val="auto"/>
              </w:rPr>
            </w:pPr>
          </w:p>
        </w:tc>
        <w:tc>
          <w:tcPr>
            <w:tcW w:w="40" w:type="dxa"/>
            <w:vAlign w:val="bottom"/>
            <w:shd w:val="clear" w:color="auto" w:fill="395796"/>
          </w:tcPr>
          <w:p>
            <w:pPr>
              <w:spacing w:after="0" w:line="20" w:lineRule="exact"/>
              <w:rPr>
                <w:sz w:val="1"/>
                <w:szCs w:val="1"/>
                <w:color w:val="auto"/>
              </w:rPr>
            </w:pPr>
          </w:p>
        </w:tc>
        <w:tc>
          <w:tcPr>
            <w:tcW w:w="60" w:type="dxa"/>
            <w:vAlign w:val="bottom"/>
            <w:shd w:val="clear" w:color="auto" w:fill="395796"/>
          </w:tcPr>
          <w:p>
            <w:pPr>
              <w:spacing w:after="0" w:line="20" w:lineRule="exact"/>
              <w:rPr>
                <w:sz w:val="1"/>
                <w:szCs w:val="1"/>
                <w:color w:val="auto"/>
              </w:rPr>
            </w:pPr>
          </w:p>
        </w:tc>
        <w:tc>
          <w:tcPr>
            <w:tcW w:w="100" w:type="dxa"/>
            <w:vAlign w:val="bottom"/>
            <w:shd w:val="clear" w:color="auto" w:fill="395796"/>
          </w:tcPr>
          <w:p>
            <w:pPr>
              <w:spacing w:after="0" w:line="20" w:lineRule="exact"/>
              <w:rPr>
                <w:sz w:val="1"/>
                <w:szCs w:val="1"/>
                <w:color w:val="auto"/>
              </w:rPr>
            </w:pPr>
          </w:p>
        </w:tc>
        <w:tc>
          <w:tcPr>
            <w:tcW w:w="40" w:type="dxa"/>
            <w:vAlign w:val="bottom"/>
            <w:shd w:val="clear" w:color="auto" w:fill="395796"/>
          </w:tcPr>
          <w:p>
            <w:pPr>
              <w:spacing w:after="0" w:line="20" w:lineRule="exact"/>
              <w:rPr>
                <w:sz w:val="1"/>
                <w:szCs w:val="1"/>
                <w:color w:val="auto"/>
              </w:rPr>
            </w:pPr>
          </w:p>
        </w:tc>
        <w:tc>
          <w:tcPr>
            <w:tcW w:w="220" w:type="dxa"/>
            <w:vAlign w:val="bottom"/>
            <w:shd w:val="clear" w:color="auto" w:fill="395796"/>
          </w:tcPr>
          <w:p>
            <w:pPr>
              <w:spacing w:after="0" w:line="20" w:lineRule="exact"/>
              <w:rPr>
                <w:sz w:val="1"/>
                <w:szCs w:val="1"/>
                <w:color w:val="auto"/>
              </w:rPr>
            </w:pPr>
          </w:p>
        </w:tc>
        <w:tc>
          <w:tcPr>
            <w:tcW w:w="28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160" w:type="dxa"/>
            <w:vAlign w:val="bottom"/>
            <w:shd w:val="clear" w:color="auto" w:fill="395796"/>
          </w:tcPr>
          <w:p>
            <w:pPr>
              <w:spacing w:after="0" w:line="20" w:lineRule="exact"/>
              <w:rPr>
                <w:sz w:val="1"/>
                <w:szCs w:val="1"/>
                <w:color w:val="auto"/>
              </w:rPr>
            </w:pPr>
          </w:p>
        </w:tc>
        <w:tc>
          <w:tcPr>
            <w:tcW w:w="200" w:type="dxa"/>
            <w:vAlign w:val="bottom"/>
            <w:shd w:val="clear" w:color="auto" w:fill="395796"/>
          </w:tcPr>
          <w:p>
            <w:pPr>
              <w:spacing w:after="0" w:line="20" w:lineRule="exact"/>
              <w:rPr>
                <w:sz w:val="1"/>
                <w:szCs w:val="1"/>
                <w:color w:val="auto"/>
              </w:rPr>
            </w:pPr>
          </w:p>
        </w:tc>
        <w:tc>
          <w:tcPr>
            <w:tcW w:w="1240" w:type="dxa"/>
            <w:vAlign w:val="bottom"/>
            <w:shd w:val="clear" w:color="auto" w:fill="395796"/>
          </w:tcPr>
          <w:p>
            <w:pPr>
              <w:spacing w:after="0" w:line="20" w:lineRule="exact"/>
              <w:rPr>
                <w:sz w:val="1"/>
                <w:szCs w:val="1"/>
                <w:color w:val="auto"/>
              </w:rPr>
            </w:pPr>
          </w:p>
        </w:tc>
        <w:tc>
          <w:tcPr>
            <w:tcW w:w="1020" w:type="dxa"/>
            <w:vAlign w:val="bottom"/>
            <w:shd w:val="clear" w:color="auto" w:fill="395796"/>
          </w:tcPr>
          <w:p>
            <w:pPr>
              <w:spacing w:after="0" w:line="20" w:lineRule="exact"/>
              <w:rPr>
                <w:sz w:val="1"/>
                <w:szCs w:val="1"/>
                <w:color w:val="auto"/>
              </w:rPr>
            </w:pPr>
          </w:p>
        </w:tc>
        <w:tc>
          <w:tcPr>
            <w:tcW w:w="1140" w:type="dxa"/>
            <w:vAlign w:val="bottom"/>
            <w:shd w:val="clear" w:color="auto" w:fill="395796"/>
          </w:tcPr>
          <w:p>
            <w:pPr>
              <w:spacing w:after="0" w:line="20" w:lineRule="exact"/>
              <w:rPr>
                <w:sz w:val="1"/>
                <w:szCs w:val="1"/>
                <w:color w:val="auto"/>
              </w:rPr>
            </w:pPr>
          </w:p>
        </w:tc>
        <w:tc>
          <w:tcPr>
            <w:tcW w:w="360" w:type="dxa"/>
            <w:vAlign w:val="bottom"/>
            <w:shd w:val="clear" w:color="auto" w:fill="395796"/>
          </w:tcPr>
          <w:p>
            <w:pPr>
              <w:spacing w:after="0" w:line="20" w:lineRule="exact"/>
              <w:rPr>
                <w:sz w:val="1"/>
                <w:szCs w:val="1"/>
                <w:color w:val="auto"/>
              </w:rPr>
            </w:pPr>
          </w:p>
        </w:tc>
        <w:tc>
          <w:tcPr>
            <w:tcW w:w="540" w:type="dxa"/>
            <w:vAlign w:val="bottom"/>
            <w:shd w:val="clear" w:color="auto" w:fill="395796"/>
          </w:tcPr>
          <w:p>
            <w:pPr>
              <w:spacing w:after="0" w:line="20" w:lineRule="exact"/>
              <w:rPr>
                <w:sz w:val="1"/>
                <w:szCs w:val="1"/>
                <w:color w:val="auto"/>
              </w:rPr>
            </w:pPr>
          </w:p>
        </w:tc>
        <w:tc>
          <w:tcPr>
            <w:tcW w:w="220" w:type="dxa"/>
            <w:vAlign w:val="bottom"/>
            <w:shd w:val="clear" w:color="auto" w:fill="395796"/>
          </w:tcPr>
          <w:p>
            <w:pPr>
              <w:spacing w:after="0" w:line="20" w:lineRule="exact"/>
              <w:rPr>
                <w:sz w:val="1"/>
                <w:szCs w:val="1"/>
                <w:color w:val="auto"/>
              </w:rPr>
            </w:pPr>
          </w:p>
        </w:tc>
        <w:tc>
          <w:tcPr>
            <w:tcW w:w="80" w:type="dxa"/>
            <w:vAlign w:val="bottom"/>
            <w:tcBorders>
              <w:right w:val="single" w:sz="8" w:color="395796"/>
            </w:tcBorders>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120" w:type="dxa"/>
            <w:vAlign w:val="bottom"/>
            <w:tcBorders>
              <w:right w:val="single" w:sz="8" w:color="395796"/>
            </w:tcBorders>
            <w:shd w:val="clear" w:color="auto" w:fill="395796"/>
          </w:tcPr>
          <w:p>
            <w:pPr>
              <w:spacing w:after="0" w:line="20" w:lineRule="exact"/>
              <w:rPr>
                <w:sz w:val="1"/>
                <w:szCs w:val="1"/>
                <w:color w:val="auto"/>
              </w:rPr>
            </w:pPr>
          </w:p>
        </w:tc>
        <w:tc>
          <w:tcPr>
            <w:tcW w:w="700" w:type="dxa"/>
            <w:vAlign w:val="bottom"/>
            <w:tcBorders>
              <w:left w:val="single" w:sz="8" w:color="39579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00" w:type="dxa"/>
            <w:vAlign w:val="bottom"/>
          </w:tcPr>
          <w:p>
            <w:pPr>
              <w:spacing w:after="0"/>
              <w:rPr>
                <w:sz w:val="24"/>
                <w:szCs w:val="24"/>
                <w:color w:val="auto"/>
              </w:rPr>
            </w:pPr>
          </w:p>
        </w:tc>
        <w:tc>
          <w:tcPr>
            <w:tcW w:w="2820" w:type="dxa"/>
            <w:vAlign w:val="bottom"/>
            <w:tcBorders>
              <w:bottom w:val="single" w:sz="8" w:color="395796"/>
            </w:tcBorders>
            <w:gridSpan w:val="18"/>
          </w:tcPr>
          <w:p>
            <w:pPr>
              <w:spacing w:after="0"/>
              <w:rPr>
                <w:sz w:val="20"/>
                <w:szCs w:val="20"/>
                <w:color w:val="auto"/>
              </w:rPr>
            </w:pPr>
            <w:r>
              <w:rPr>
                <w:rFonts w:ascii="Arial" w:cs="Arial" w:eastAsia="Arial" w:hAnsi="Arial"/>
                <w:sz w:val="20"/>
                <w:szCs w:val="20"/>
                <w:b w:val="1"/>
                <w:bCs w:val="1"/>
                <w:color w:val="395796"/>
                <w:w w:val="90"/>
              </w:rPr>
              <w:t>Directors and Executive Officers</w:t>
            </w:r>
          </w:p>
        </w:tc>
        <w:tc>
          <w:tcPr>
            <w:tcW w:w="680" w:type="dxa"/>
            <w:vAlign w:val="bottom"/>
            <w:gridSpan w:val="5"/>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0000EE"/>
            </w:tcBorders>
            <w:gridSpan w:val="2"/>
          </w:tcPr>
          <w:p>
            <w:pPr>
              <w:jc w:val="right"/>
              <w:spacing w:after="0"/>
              <w:rPr>
                <w:sz w:val="20"/>
                <w:szCs w:val="20"/>
                <w:color w:val="auto"/>
              </w:rPr>
            </w:pPr>
            <w:r>
              <w:rPr>
                <w:rFonts w:ascii="Arial" w:cs="Arial" w:eastAsia="Arial" w:hAnsi="Arial"/>
                <w:sz w:val="12"/>
                <w:szCs w:val="12"/>
                <w:b w:val="1"/>
                <w:bCs w:val="1"/>
                <w:color w:val="0000EE"/>
                <w:w w:val="74"/>
              </w:rPr>
              <w:t>13</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1160" w:type="dxa"/>
            <w:vAlign w:val="bottom"/>
            <w:tcBorders>
              <w:bottom w:val="single" w:sz="8" w:color="395796"/>
            </w:tcBorders>
            <w:gridSpan w:val="2"/>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30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6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30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140" w:type="dxa"/>
            <w:vAlign w:val="bottom"/>
            <w:tcBorders>
              <w:bottom w:val="single" w:sz="8" w:color="395796"/>
            </w:tcBorders>
          </w:tcPr>
          <w:p>
            <w:pPr>
              <w:spacing w:after="0"/>
              <w:rPr>
                <w:sz w:val="4"/>
                <w:szCs w:val="4"/>
                <w:color w:val="auto"/>
              </w:rPr>
            </w:pPr>
          </w:p>
        </w:tc>
        <w:tc>
          <w:tcPr>
            <w:tcW w:w="34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gridSpan w:val="2"/>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28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6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1240" w:type="dxa"/>
            <w:vAlign w:val="bottom"/>
            <w:tcBorders>
              <w:bottom w:val="single" w:sz="8" w:color="395796"/>
            </w:tcBorders>
          </w:tcPr>
          <w:p>
            <w:pPr>
              <w:spacing w:after="0"/>
              <w:rPr>
                <w:sz w:val="4"/>
                <w:szCs w:val="4"/>
                <w:color w:val="auto"/>
              </w:rPr>
            </w:pPr>
          </w:p>
        </w:tc>
        <w:tc>
          <w:tcPr>
            <w:tcW w:w="1020" w:type="dxa"/>
            <w:vAlign w:val="bottom"/>
            <w:tcBorders>
              <w:bottom w:val="single" w:sz="8" w:color="395796"/>
            </w:tcBorders>
          </w:tcPr>
          <w:p>
            <w:pPr>
              <w:spacing w:after="0"/>
              <w:rPr>
                <w:sz w:val="4"/>
                <w:szCs w:val="4"/>
                <w:color w:val="auto"/>
              </w:rPr>
            </w:pPr>
          </w:p>
        </w:tc>
        <w:tc>
          <w:tcPr>
            <w:tcW w:w="1140" w:type="dxa"/>
            <w:vAlign w:val="bottom"/>
            <w:tcBorders>
              <w:bottom w:val="single" w:sz="8" w:color="395796"/>
            </w:tcBorders>
          </w:tcPr>
          <w:p>
            <w:pPr>
              <w:spacing w:after="0"/>
              <w:rPr>
                <w:sz w:val="4"/>
                <w:szCs w:val="4"/>
                <w:color w:val="auto"/>
              </w:rPr>
            </w:pPr>
          </w:p>
        </w:tc>
        <w:tc>
          <w:tcPr>
            <w:tcW w:w="360" w:type="dxa"/>
            <w:vAlign w:val="bottom"/>
            <w:tcBorders>
              <w:bottom w:val="single" w:sz="8" w:color="395796"/>
            </w:tcBorders>
          </w:tcPr>
          <w:p>
            <w:pPr>
              <w:spacing w:after="0"/>
              <w:rPr>
                <w:sz w:val="4"/>
                <w:szCs w:val="4"/>
                <w:color w:val="auto"/>
              </w:rPr>
            </w:pPr>
          </w:p>
        </w:tc>
        <w:tc>
          <w:tcPr>
            <w:tcW w:w="54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700" w:type="dxa"/>
            <w:vAlign w:val="bottom"/>
          </w:tcPr>
          <w:p>
            <w:pPr>
              <w:spacing w:after="0"/>
              <w:rPr>
                <w:sz w:val="24"/>
                <w:szCs w:val="24"/>
                <w:color w:val="auto"/>
              </w:rPr>
            </w:pPr>
          </w:p>
        </w:tc>
        <w:tc>
          <w:tcPr>
            <w:tcW w:w="4380" w:type="dxa"/>
            <w:vAlign w:val="bottom"/>
            <w:tcBorders>
              <w:bottom w:val="single" w:sz="8" w:color="395796"/>
            </w:tcBorders>
            <w:gridSpan w:val="30"/>
          </w:tcPr>
          <w:p>
            <w:pPr>
              <w:spacing w:after="0"/>
              <w:rPr>
                <w:sz w:val="20"/>
                <w:szCs w:val="20"/>
                <w:color w:val="auto"/>
              </w:rPr>
            </w:pPr>
            <w:r>
              <w:rPr>
                <w:rFonts w:ascii="Arial" w:cs="Arial" w:eastAsia="Arial" w:hAnsi="Arial"/>
                <w:sz w:val="20"/>
                <w:szCs w:val="20"/>
                <w:b w:val="1"/>
                <w:bCs w:val="1"/>
                <w:color w:val="395796"/>
                <w:w w:val="91"/>
              </w:rPr>
              <w:t>Compensation of Directors and Executive Officers</w:t>
            </w:r>
          </w:p>
        </w:tc>
        <w:tc>
          <w:tcPr>
            <w:tcW w:w="3960" w:type="dxa"/>
            <w:vAlign w:val="bottom"/>
            <w:gridSpan w:val="5"/>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0000EE"/>
            </w:tcBorders>
            <w:gridSpan w:val="2"/>
          </w:tcPr>
          <w:p>
            <w:pPr>
              <w:jc w:val="right"/>
              <w:spacing w:after="0"/>
              <w:rPr>
                <w:sz w:val="20"/>
                <w:szCs w:val="20"/>
                <w:color w:val="auto"/>
              </w:rPr>
            </w:pPr>
            <w:r>
              <w:rPr>
                <w:rFonts w:ascii="Arial" w:cs="Arial" w:eastAsia="Arial" w:hAnsi="Arial"/>
                <w:sz w:val="12"/>
                <w:szCs w:val="12"/>
                <w:b w:val="1"/>
                <w:bCs w:val="1"/>
                <w:color w:val="0000EE"/>
                <w:w w:val="74"/>
              </w:rPr>
              <w:t>16</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1160" w:type="dxa"/>
            <w:vAlign w:val="bottom"/>
            <w:tcBorders>
              <w:bottom w:val="single" w:sz="8" w:color="395796"/>
            </w:tcBorders>
            <w:gridSpan w:val="2"/>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30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6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30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140" w:type="dxa"/>
            <w:vAlign w:val="bottom"/>
            <w:tcBorders>
              <w:bottom w:val="single" w:sz="8" w:color="395796"/>
            </w:tcBorders>
          </w:tcPr>
          <w:p>
            <w:pPr>
              <w:spacing w:after="0"/>
              <w:rPr>
                <w:sz w:val="4"/>
                <w:szCs w:val="4"/>
                <w:color w:val="auto"/>
              </w:rPr>
            </w:pPr>
          </w:p>
        </w:tc>
        <w:tc>
          <w:tcPr>
            <w:tcW w:w="34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6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28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6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1240" w:type="dxa"/>
            <w:vAlign w:val="bottom"/>
            <w:tcBorders>
              <w:bottom w:val="single" w:sz="8" w:color="395796"/>
            </w:tcBorders>
          </w:tcPr>
          <w:p>
            <w:pPr>
              <w:spacing w:after="0"/>
              <w:rPr>
                <w:sz w:val="4"/>
                <w:szCs w:val="4"/>
                <w:color w:val="auto"/>
              </w:rPr>
            </w:pPr>
          </w:p>
        </w:tc>
        <w:tc>
          <w:tcPr>
            <w:tcW w:w="1020" w:type="dxa"/>
            <w:vAlign w:val="bottom"/>
            <w:tcBorders>
              <w:bottom w:val="single" w:sz="8" w:color="395796"/>
            </w:tcBorders>
          </w:tcPr>
          <w:p>
            <w:pPr>
              <w:spacing w:after="0"/>
              <w:rPr>
                <w:sz w:val="4"/>
                <w:szCs w:val="4"/>
                <w:color w:val="auto"/>
              </w:rPr>
            </w:pPr>
          </w:p>
        </w:tc>
        <w:tc>
          <w:tcPr>
            <w:tcW w:w="1140" w:type="dxa"/>
            <w:vAlign w:val="bottom"/>
            <w:tcBorders>
              <w:bottom w:val="single" w:sz="8" w:color="395796"/>
            </w:tcBorders>
          </w:tcPr>
          <w:p>
            <w:pPr>
              <w:spacing w:after="0"/>
              <w:rPr>
                <w:sz w:val="4"/>
                <w:szCs w:val="4"/>
                <w:color w:val="auto"/>
              </w:rPr>
            </w:pPr>
          </w:p>
        </w:tc>
        <w:tc>
          <w:tcPr>
            <w:tcW w:w="360" w:type="dxa"/>
            <w:vAlign w:val="bottom"/>
            <w:tcBorders>
              <w:bottom w:val="single" w:sz="8" w:color="395796"/>
            </w:tcBorders>
          </w:tcPr>
          <w:p>
            <w:pPr>
              <w:spacing w:after="0"/>
              <w:rPr>
                <w:sz w:val="4"/>
                <w:szCs w:val="4"/>
                <w:color w:val="auto"/>
              </w:rPr>
            </w:pPr>
          </w:p>
        </w:tc>
        <w:tc>
          <w:tcPr>
            <w:tcW w:w="54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19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7"/>
              </w:rPr>
              <w:t>Executive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8"/>
                <w:szCs w:val="18"/>
                <w:color w:val="auto"/>
              </w:rPr>
            </w:pPr>
          </w:p>
        </w:tc>
        <w:tc>
          <w:tcPr>
            <w:tcW w:w="220" w:type="dxa"/>
            <w:vAlign w:val="bottom"/>
            <w:tcBorders>
              <w:bottom w:val="single" w:sz="8" w:color="0000EE"/>
            </w:tcBorders>
            <w:gridSpan w:val="3"/>
          </w:tcPr>
          <w:p>
            <w:pPr>
              <w:jc w:val="right"/>
              <w:spacing w:after="0" w:line="196" w:lineRule="exact"/>
              <w:rPr>
                <w:sz w:val="20"/>
                <w:szCs w:val="20"/>
                <w:color w:val="auto"/>
              </w:rPr>
            </w:pPr>
            <w:r>
              <w:rPr>
                <w:rFonts w:ascii="Arial" w:cs="Arial" w:eastAsia="Arial" w:hAnsi="Arial"/>
                <w:sz w:val="18"/>
                <w:szCs w:val="18"/>
                <w:color w:val="0000EE"/>
                <w:w w:val="89"/>
              </w:rPr>
              <w:t>16</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12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7"/>
              </w:rPr>
              <w:t>Summary Compensation Table for 2025</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16</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92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0000EE"/>
                <w:w w:val="97"/>
              </w:rPr>
              <w:t>Outstanding Equity Awards at December 31, 2025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1240" w:type="dxa"/>
            <w:vAlign w:val="bottom"/>
          </w:tcPr>
          <w:p>
            <w:pPr>
              <w:spacing w:after="0"/>
              <w:rPr>
                <w:sz w:val="20"/>
                <w:szCs w:val="20"/>
                <w:color w:val="auto"/>
              </w:rPr>
            </w:pPr>
          </w:p>
        </w:tc>
        <w:tc>
          <w:tcPr>
            <w:tcW w:w="2520" w:type="dxa"/>
            <w:vAlign w:val="bottom"/>
            <w:gridSpan w:val="3"/>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17</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24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5"/>
              </w:rPr>
              <w:t>Pay Versus Performance Table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3"/>
          </w:tcPr>
          <w:p>
            <w:pPr>
              <w:spacing w:after="0"/>
              <w:rPr>
                <w:sz w:val="20"/>
                <w:szCs w:val="20"/>
                <w:color w:val="auto"/>
              </w:rPr>
            </w:pPr>
          </w:p>
        </w:tc>
        <w:tc>
          <w:tcPr>
            <w:tcW w:w="4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18</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252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6"/>
              </w:rPr>
              <w:t>Pay Versus Performance Charts</w:t>
            </w:r>
          </w:p>
        </w:tc>
        <w:tc>
          <w:tcPr>
            <w:tcW w:w="460" w:type="dxa"/>
            <w:vAlign w:val="bottom"/>
            <w:gridSpan w:val="3"/>
          </w:tcPr>
          <w:p>
            <w:pPr>
              <w:spacing w:after="0"/>
              <w:rPr>
                <w:sz w:val="20"/>
                <w:szCs w:val="20"/>
                <w:color w:val="auto"/>
              </w:rPr>
            </w:pPr>
          </w:p>
        </w:tc>
        <w:tc>
          <w:tcPr>
            <w:tcW w:w="4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20</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17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7"/>
              </w:rPr>
              <w:t>Executive Agreements</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3"/>
          </w:tcPr>
          <w:p>
            <w:pPr>
              <w:spacing w:after="0"/>
              <w:rPr>
                <w:sz w:val="20"/>
                <w:szCs w:val="20"/>
                <w:color w:val="auto"/>
              </w:rPr>
            </w:pPr>
          </w:p>
        </w:tc>
        <w:tc>
          <w:tcPr>
            <w:tcW w:w="540" w:type="dxa"/>
            <w:vAlign w:val="bottom"/>
            <w:gridSpan w:val="4"/>
          </w:tcPr>
          <w:p>
            <w:pPr>
              <w:spacing w:after="0"/>
              <w:rPr>
                <w:sz w:val="20"/>
                <w:szCs w:val="20"/>
                <w:color w:val="auto"/>
              </w:rPr>
            </w:pPr>
          </w:p>
        </w:tc>
        <w:tc>
          <w:tcPr>
            <w:tcW w:w="4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21</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18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8"/>
              </w:rPr>
              <w:t>Director Compensation</w:t>
            </w:r>
          </w:p>
        </w:tc>
        <w:tc>
          <w:tcPr>
            <w:tcW w:w="10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gridSpan w:val="3"/>
          </w:tcPr>
          <w:p>
            <w:pPr>
              <w:spacing w:after="0"/>
              <w:rPr>
                <w:sz w:val="20"/>
                <w:szCs w:val="20"/>
                <w:color w:val="auto"/>
              </w:rPr>
            </w:pPr>
          </w:p>
        </w:tc>
        <w:tc>
          <w:tcPr>
            <w:tcW w:w="540" w:type="dxa"/>
            <w:vAlign w:val="bottom"/>
            <w:gridSpan w:val="4"/>
          </w:tcPr>
          <w:p>
            <w:pPr>
              <w:spacing w:after="0"/>
              <w:rPr>
                <w:sz w:val="20"/>
                <w:szCs w:val="20"/>
                <w:color w:val="auto"/>
              </w:rPr>
            </w:pPr>
          </w:p>
        </w:tc>
        <w:tc>
          <w:tcPr>
            <w:tcW w:w="4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22</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298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6"/>
              </w:rPr>
              <w:t>Director Compensation Table for 2025</w:t>
            </w:r>
          </w:p>
        </w:tc>
        <w:tc>
          <w:tcPr>
            <w:tcW w:w="4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23</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58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color w:val="0000EE"/>
                <w:w w:val="97"/>
              </w:rPr>
              <w:t>Outstanding Director Equity Awards at December 31, 2025</w:t>
            </w:r>
          </w:p>
        </w:tc>
        <w:tc>
          <w:tcPr>
            <w:tcW w:w="1240" w:type="dxa"/>
            <w:vAlign w:val="bottom"/>
          </w:tcPr>
          <w:p>
            <w:pPr>
              <w:spacing w:after="0"/>
              <w:rPr>
                <w:sz w:val="20"/>
                <w:szCs w:val="20"/>
                <w:color w:val="auto"/>
              </w:rPr>
            </w:pPr>
          </w:p>
        </w:tc>
        <w:tc>
          <w:tcPr>
            <w:tcW w:w="2520" w:type="dxa"/>
            <w:vAlign w:val="bottom"/>
            <w:gridSpan w:val="3"/>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24</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700" w:type="dxa"/>
            <w:vAlign w:val="bottom"/>
          </w:tcPr>
          <w:p>
            <w:pPr>
              <w:spacing w:after="0"/>
              <w:rPr>
                <w:sz w:val="24"/>
                <w:szCs w:val="24"/>
                <w:color w:val="auto"/>
              </w:rPr>
            </w:pPr>
          </w:p>
        </w:tc>
        <w:tc>
          <w:tcPr>
            <w:tcW w:w="2440" w:type="dxa"/>
            <w:vAlign w:val="bottom"/>
            <w:tcBorders>
              <w:bottom w:val="single" w:sz="8" w:color="395796"/>
            </w:tcBorders>
            <w:gridSpan w:val="16"/>
          </w:tcPr>
          <w:p>
            <w:pPr>
              <w:spacing w:after="0"/>
              <w:rPr>
                <w:sz w:val="20"/>
                <w:szCs w:val="20"/>
                <w:color w:val="auto"/>
              </w:rPr>
            </w:pPr>
            <w:r>
              <w:rPr>
                <w:rFonts w:ascii="Arial" w:cs="Arial" w:eastAsia="Arial" w:hAnsi="Arial"/>
                <w:sz w:val="20"/>
                <w:szCs w:val="20"/>
                <w:b w:val="1"/>
                <w:bCs w:val="1"/>
                <w:color w:val="395796"/>
                <w:w w:val="91"/>
              </w:rPr>
              <w:t>Equity Compensation Plans</w:t>
            </w:r>
          </w:p>
        </w:tc>
        <w:tc>
          <w:tcPr>
            <w:tcW w:w="1060" w:type="dxa"/>
            <w:vAlign w:val="bottom"/>
            <w:gridSpan w:val="7"/>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0000EE"/>
            </w:tcBorders>
            <w:gridSpan w:val="2"/>
          </w:tcPr>
          <w:p>
            <w:pPr>
              <w:jc w:val="right"/>
              <w:spacing w:after="0"/>
              <w:rPr>
                <w:sz w:val="20"/>
                <w:szCs w:val="20"/>
                <w:color w:val="auto"/>
              </w:rPr>
            </w:pPr>
            <w:r>
              <w:rPr>
                <w:rFonts w:ascii="Arial" w:cs="Arial" w:eastAsia="Arial" w:hAnsi="Arial"/>
                <w:sz w:val="12"/>
                <w:szCs w:val="12"/>
                <w:b w:val="1"/>
                <w:bCs w:val="1"/>
                <w:color w:val="0000EE"/>
                <w:w w:val="74"/>
              </w:rPr>
              <w:t>25</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1160" w:type="dxa"/>
            <w:vAlign w:val="bottom"/>
            <w:tcBorders>
              <w:bottom w:val="single" w:sz="8" w:color="395796"/>
            </w:tcBorders>
            <w:gridSpan w:val="2"/>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30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6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30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140" w:type="dxa"/>
            <w:vAlign w:val="bottom"/>
            <w:tcBorders>
              <w:bottom w:val="single" w:sz="8" w:color="395796"/>
            </w:tcBorders>
          </w:tcPr>
          <w:p>
            <w:pPr>
              <w:spacing w:after="0"/>
              <w:rPr>
                <w:sz w:val="4"/>
                <w:szCs w:val="4"/>
                <w:color w:val="auto"/>
              </w:rPr>
            </w:pPr>
          </w:p>
        </w:tc>
        <w:tc>
          <w:tcPr>
            <w:tcW w:w="34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gridSpan w:val="2"/>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28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6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1240" w:type="dxa"/>
            <w:vAlign w:val="bottom"/>
            <w:tcBorders>
              <w:bottom w:val="single" w:sz="8" w:color="395796"/>
            </w:tcBorders>
          </w:tcPr>
          <w:p>
            <w:pPr>
              <w:spacing w:after="0"/>
              <w:rPr>
                <w:sz w:val="4"/>
                <w:szCs w:val="4"/>
                <w:color w:val="auto"/>
              </w:rPr>
            </w:pPr>
          </w:p>
        </w:tc>
        <w:tc>
          <w:tcPr>
            <w:tcW w:w="1020" w:type="dxa"/>
            <w:vAlign w:val="bottom"/>
            <w:tcBorders>
              <w:bottom w:val="single" w:sz="8" w:color="395796"/>
            </w:tcBorders>
          </w:tcPr>
          <w:p>
            <w:pPr>
              <w:spacing w:after="0"/>
              <w:rPr>
                <w:sz w:val="4"/>
                <w:szCs w:val="4"/>
                <w:color w:val="auto"/>
              </w:rPr>
            </w:pPr>
          </w:p>
        </w:tc>
        <w:tc>
          <w:tcPr>
            <w:tcW w:w="1140" w:type="dxa"/>
            <w:vAlign w:val="bottom"/>
            <w:tcBorders>
              <w:bottom w:val="single" w:sz="8" w:color="395796"/>
            </w:tcBorders>
          </w:tcPr>
          <w:p>
            <w:pPr>
              <w:spacing w:after="0"/>
              <w:rPr>
                <w:sz w:val="4"/>
                <w:szCs w:val="4"/>
                <w:color w:val="auto"/>
              </w:rPr>
            </w:pPr>
          </w:p>
        </w:tc>
        <w:tc>
          <w:tcPr>
            <w:tcW w:w="360" w:type="dxa"/>
            <w:vAlign w:val="bottom"/>
            <w:tcBorders>
              <w:bottom w:val="single" w:sz="8" w:color="395796"/>
            </w:tcBorders>
          </w:tcPr>
          <w:p>
            <w:pPr>
              <w:spacing w:after="0"/>
              <w:rPr>
                <w:sz w:val="4"/>
                <w:szCs w:val="4"/>
                <w:color w:val="auto"/>
              </w:rPr>
            </w:pPr>
          </w:p>
        </w:tc>
        <w:tc>
          <w:tcPr>
            <w:tcW w:w="54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700" w:type="dxa"/>
            <w:vAlign w:val="bottom"/>
          </w:tcPr>
          <w:p>
            <w:pPr>
              <w:spacing w:after="0"/>
              <w:rPr>
                <w:sz w:val="24"/>
                <w:szCs w:val="24"/>
                <w:color w:val="auto"/>
              </w:rPr>
            </w:pPr>
          </w:p>
        </w:tc>
        <w:tc>
          <w:tcPr>
            <w:tcW w:w="5820" w:type="dxa"/>
            <w:vAlign w:val="bottom"/>
            <w:tcBorders>
              <w:bottom w:val="single" w:sz="8" w:color="395796"/>
            </w:tcBorders>
            <w:gridSpan w:val="32"/>
          </w:tcPr>
          <w:p>
            <w:pPr>
              <w:spacing w:after="0"/>
              <w:rPr>
                <w:sz w:val="20"/>
                <w:szCs w:val="20"/>
                <w:color w:val="auto"/>
              </w:rPr>
            </w:pPr>
            <w:r>
              <w:rPr>
                <w:rFonts w:ascii="Arial" w:cs="Arial" w:eastAsia="Arial" w:hAnsi="Arial"/>
                <w:sz w:val="20"/>
                <w:szCs w:val="20"/>
                <w:b w:val="1"/>
                <w:bCs w:val="1"/>
                <w:color w:val="395796"/>
                <w:w w:val="91"/>
              </w:rPr>
              <w:t>Security Ownership of Certain Beneficial Owners and Management</w:t>
            </w:r>
          </w:p>
        </w:tc>
        <w:tc>
          <w:tcPr>
            <w:tcW w:w="2520" w:type="dxa"/>
            <w:vAlign w:val="bottom"/>
            <w:gridSpan w:val="3"/>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0000EE"/>
            </w:tcBorders>
            <w:gridSpan w:val="2"/>
          </w:tcPr>
          <w:p>
            <w:pPr>
              <w:jc w:val="right"/>
              <w:spacing w:after="0"/>
              <w:rPr>
                <w:sz w:val="20"/>
                <w:szCs w:val="20"/>
                <w:color w:val="auto"/>
              </w:rPr>
            </w:pPr>
            <w:r>
              <w:rPr>
                <w:rFonts w:ascii="Arial" w:cs="Arial" w:eastAsia="Arial" w:hAnsi="Arial"/>
                <w:sz w:val="12"/>
                <w:szCs w:val="12"/>
                <w:b w:val="1"/>
                <w:bCs w:val="1"/>
                <w:color w:val="0000EE"/>
                <w:w w:val="74"/>
              </w:rPr>
              <w:t>26</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1160" w:type="dxa"/>
            <w:vAlign w:val="bottom"/>
            <w:tcBorders>
              <w:bottom w:val="single" w:sz="8" w:color="395796"/>
            </w:tcBorders>
            <w:gridSpan w:val="2"/>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30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6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30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140" w:type="dxa"/>
            <w:vAlign w:val="bottom"/>
            <w:tcBorders>
              <w:bottom w:val="single" w:sz="8" w:color="395796"/>
            </w:tcBorders>
          </w:tcPr>
          <w:p>
            <w:pPr>
              <w:spacing w:after="0"/>
              <w:rPr>
                <w:sz w:val="4"/>
                <w:szCs w:val="4"/>
                <w:color w:val="auto"/>
              </w:rPr>
            </w:pPr>
          </w:p>
        </w:tc>
        <w:tc>
          <w:tcPr>
            <w:tcW w:w="34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gridSpan w:val="2"/>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28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6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1240" w:type="dxa"/>
            <w:vAlign w:val="bottom"/>
            <w:tcBorders>
              <w:bottom w:val="single" w:sz="8" w:color="395796"/>
            </w:tcBorders>
          </w:tcPr>
          <w:p>
            <w:pPr>
              <w:spacing w:after="0"/>
              <w:rPr>
                <w:sz w:val="4"/>
                <w:szCs w:val="4"/>
                <w:color w:val="auto"/>
              </w:rPr>
            </w:pPr>
          </w:p>
        </w:tc>
        <w:tc>
          <w:tcPr>
            <w:tcW w:w="1020" w:type="dxa"/>
            <w:vAlign w:val="bottom"/>
            <w:tcBorders>
              <w:bottom w:val="single" w:sz="8" w:color="395796"/>
            </w:tcBorders>
          </w:tcPr>
          <w:p>
            <w:pPr>
              <w:spacing w:after="0"/>
              <w:rPr>
                <w:sz w:val="4"/>
                <w:szCs w:val="4"/>
                <w:color w:val="auto"/>
              </w:rPr>
            </w:pPr>
          </w:p>
        </w:tc>
        <w:tc>
          <w:tcPr>
            <w:tcW w:w="1140" w:type="dxa"/>
            <w:vAlign w:val="bottom"/>
            <w:tcBorders>
              <w:bottom w:val="single" w:sz="8" w:color="395796"/>
            </w:tcBorders>
          </w:tcPr>
          <w:p>
            <w:pPr>
              <w:spacing w:after="0"/>
              <w:rPr>
                <w:sz w:val="4"/>
                <w:szCs w:val="4"/>
                <w:color w:val="auto"/>
              </w:rPr>
            </w:pPr>
          </w:p>
        </w:tc>
        <w:tc>
          <w:tcPr>
            <w:tcW w:w="360" w:type="dxa"/>
            <w:vAlign w:val="bottom"/>
            <w:tcBorders>
              <w:bottom w:val="single" w:sz="8" w:color="395796"/>
            </w:tcBorders>
          </w:tcPr>
          <w:p>
            <w:pPr>
              <w:spacing w:after="0"/>
              <w:rPr>
                <w:sz w:val="4"/>
                <w:szCs w:val="4"/>
                <w:color w:val="auto"/>
              </w:rPr>
            </w:pPr>
          </w:p>
        </w:tc>
        <w:tc>
          <w:tcPr>
            <w:tcW w:w="54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700" w:type="dxa"/>
            <w:vAlign w:val="bottom"/>
          </w:tcPr>
          <w:p>
            <w:pPr>
              <w:spacing w:after="0"/>
              <w:rPr>
                <w:sz w:val="24"/>
                <w:szCs w:val="24"/>
                <w:color w:val="auto"/>
              </w:rPr>
            </w:pPr>
          </w:p>
        </w:tc>
        <w:tc>
          <w:tcPr>
            <w:tcW w:w="4220" w:type="dxa"/>
            <w:vAlign w:val="bottom"/>
            <w:tcBorders>
              <w:bottom w:val="single" w:sz="8" w:color="395796"/>
            </w:tcBorders>
            <w:gridSpan w:val="29"/>
          </w:tcPr>
          <w:p>
            <w:pPr>
              <w:spacing w:after="0"/>
              <w:rPr>
                <w:sz w:val="20"/>
                <w:szCs w:val="20"/>
                <w:color w:val="auto"/>
              </w:rPr>
            </w:pPr>
            <w:r>
              <w:rPr>
                <w:rFonts w:ascii="Arial" w:cs="Arial" w:eastAsia="Arial" w:hAnsi="Arial"/>
                <w:sz w:val="20"/>
                <w:szCs w:val="20"/>
                <w:b w:val="1"/>
                <w:bCs w:val="1"/>
                <w:color w:val="395796"/>
                <w:w w:val="91"/>
              </w:rPr>
              <w:t>Board of Directors and Committees of the Board</w:t>
            </w:r>
          </w:p>
        </w:tc>
        <w:tc>
          <w:tcPr>
            <w:tcW w:w="4120" w:type="dxa"/>
            <w:vAlign w:val="bottom"/>
            <w:gridSpan w:val="6"/>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0000EE"/>
            </w:tcBorders>
            <w:gridSpan w:val="2"/>
          </w:tcPr>
          <w:p>
            <w:pPr>
              <w:jc w:val="right"/>
              <w:spacing w:after="0"/>
              <w:rPr>
                <w:sz w:val="20"/>
                <w:szCs w:val="20"/>
                <w:color w:val="auto"/>
              </w:rPr>
            </w:pPr>
            <w:r>
              <w:rPr>
                <w:rFonts w:ascii="Arial" w:cs="Arial" w:eastAsia="Arial" w:hAnsi="Arial"/>
                <w:sz w:val="12"/>
                <w:szCs w:val="12"/>
                <w:b w:val="1"/>
                <w:bCs w:val="1"/>
                <w:color w:val="0000EE"/>
                <w:w w:val="74"/>
              </w:rPr>
              <w:t>28</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1160" w:type="dxa"/>
            <w:vAlign w:val="bottom"/>
            <w:tcBorders>
              <w:bottom w:val="single" w:sz="8" w:color="395796"/>
            </w:tcBorders>
            <w:gridSpan w:val="2"/>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30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6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30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140" w:type="dxa"/>
            <w:vAlign w:val="bottom"/>
            <w:tcBorders>
              <w:bottom w:val="single" w:sz="8" w:color="395796"/>
            </w:tcBorders>
          </w:tcPr>
          <w:p>
            <w:pPr>
              <w:spacing w:after="0"/>
              <w:rPr>
                <w:sz w:val="4"/>
                <w:szCs w:val="4"/>
                <w:color w:val="auto"/>
              </w:rPr>
            </w:pPr>
          </w:p>
        </w:tc>
        <w:tc>
          <w:tcPr>
            <w:tcW w:w="34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6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28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6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1240" w:type="dxa"/>
            <w:vAlign w:val="bottom"/>
            <w:tcBorders>
              <w:bottom w:val="single" w:sz="8" w:color="395796"/>
            </w:tcBorders>
          </w:tcPr>
          <w:p>
            <w:pPr>
              <w:spacing w:after="0"/>
              <w:rPr>
                <w:sz w:val="4"/>
                <w:szCs w:val="4"/>
                <w:color w:val="auto"/>
              </w:rPr>
            </w:pPr>
          </w:p>
        </w:tc>
        <w:tc>
          <w:tcPr>
            <w:tcW w:w="1020" w:type="dxa"/>
            <w:vAlign w:val="bottom"/>
            <w:tcBorders>
              <w:bottom w:val="single" w:sz="8" w:color="395796"/>
            </w:tcBorders>
          </w:tcPr>
          <w:p>
            <w:pPr>
              <w:spacing w:after="0"/>
              <w:rPr>
                <w:sz w:val="4"/>
                <w:szCs w:val="4"/>
                <w:color w:val="auto"/>
              </w:rPr>
            </w:pPr>
          </w:p>
        </w:tc>
        <w:tc>
          <w:tcPr>
            <w:tcW w:w="1140" w:type="dxa"/>
            <w:vAlign w:val="bottom"/>
            <w:tcBorders>
              <w:bottom w:val="single" w:sz="8" w:color="395796"/>
            </w:tcBorders>
          </w:tcPr>
          <w:p>
            <w:pPr>
              <w:spacing w:after="0"/>
              <w:rPr>
                <w:sz w:val="4"/>
                <w:szCs w:val="4"/>
                <w:color w:val="auto"/>
              </w:rPr>
            </w:pPr>
          </w:p>
        </w:tc>
        <w:tc>
          <w:tcPr>
            <w:tcW w:w="360" w:type="dxa"/>
            <w:vAlign w:val="bottom"/>
            <w:tcBorders>
              <w:bottom w:val="single" w:sz="8" w:color="395796"/>
            </w:tcBorders>
          </w:tcPr>
          <w:p>
            <w:pPr>
              <w:spacing w:after="0"/>
              <w:rPr>
                <w:sz w:val="4"/>
                <w:szCs w:val="4"/>
                <w:color w:val="auto"/>
              </w:rPr>
            </w:pPr>
          </w:p>
        </w:tc>
        <w:tc>
          <w:tcPr>
            <w:tcW w:w="54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8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18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7"/>
              </w:rPr>
              <w:t>Director Independence</w:t>
            </w:r>
          </w:p>
        </w:tc>
        <w:tc>
          <w:tcPr>
            <w:tcW w:w="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9"/>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8"/>
                <w:szCs w:val="18"/>
                <w:color w:val="auto"/>
              </w:rPr>
            </w:pPr>
          </w:p>
        </w:tc>
        <w:tc>
          <w:tcPr>
            <w:tcW w:w="220" w:type="dxa"/>
            <w:vAlign w:val="bottom"/>
            <w:tcBorders>
              <w:bottom w:val="single" w:sz="8" w:color="0000EE"/>
            </w:tcBorders>
            <w:gridSpan w:val="3"/>
          </w:tcPr>
          <w:p>
            <w:pPr>
              <w:jc w:val="right"/>
              <w:spacing w:after="0" w:line="196" w:lineRule="exact"/>
              <w:rPr>
                <w:sz w:val="20"/>
                <w:szCs w:val="20"/>
                <w:color w:val="auto"/>
              </w:rPr>
            </w:pPr>
            <w:r>
              <w:rPr>
                <w:rFonts w:ascii="Arial" w:cs="Arial" w:eastAsia="Arial" w:hAnsi="Arial"/>
                <w:sz w:val="18"/>
                <w:szCs w:val="18"/>
                <w:color w:val="0000EE"/>
                <w:w w:val="89"/>
              </w:rPr>
              <w:t>28</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12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6"/>
              </w:rPr>
              <w:t>Board Meetings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12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9"/>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28</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21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7"/>
              </w:rPr>
              <w:t>Board Leadership Structure</w:t>
            </w:r>
          </w:p>
        </w:tc>
        <w:tc>
          <w:tcPr>
            <w:tcW w:w="1300" w:type="dxa"/>
            <w:vAlign w:val="bottom"/>
            <w:gridSpan w:val="9"/>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28</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14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Risk Management</w:t>
            </w:r>
          </w:p>
        </w:tc>
        <w:tc>
          <w:tcPr>
            <w:tcW w:w="40" w:type="dxa"/>
            <w:vAlign w:val="bottom"/>
          </w:tcPr>
          <w:p>
            <w:pPr>
              <w:spacing w:after="0"/>
              <w:rPr>
                <w:sz w:val="20"/>
                <w:szCs w:val="20"/>
                <w:color w:val="auto"/>
              </w:rPr>
            </w:pPr>
          </w:p>
        </w:tc>
        <w:tc>
          <w:tcPr>
            <w:tcW w:w="340" w:type="dxa"/>
            <w:vAlign w:val="bottom"/>
            <w:gridSpan w:val="3"/>
          </w:tcPr>
          <w:p>
            <w:pPr>
              <w:spacing w:after="0"/>
              <w:rPr>
                <w:sz w:val="20"/>
                <w:szCs w:val="20"/>
                <w:color w:val="auto"/>
              </w:rPr>
            </w:pPr>
          </w:p>
        </w:tc>
        <w:tc>
          <w:tcPr>
            <w:tcW w:w="12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1420" w:type="dxa"/>
            <w:vAlign w:val="bottom"/>
            <w:gridSpan w:val="10"/>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28</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14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Board Committees</w:t>
            </w:r>
          </w:p>
        </w:tc>
        <w:tc>
          <w:tcPr>
            <w:tcW w:w="340" w:type="dxa"/>
            <w:vAlign w:val="bottom"/>
            <w:gridSpan w:val="3"/>
          </w:tcPr>
          <w:p>
            <w:pPr>
              <w:spacing w:after="0"/>
              <w:rPr>
                <w:sz w:val="20"/>
                <w:szCs w:val="20"/>
                <w:color w:val="auto"/>
              </w:rPr>
            </w:pPr>
          </w:p>
        </w:tc>
        <w:tc>
          <w:tcPr>
            <w:tcW w:w="12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1420" w:type="dxa"/>
            <w:vAlign w:val="bottom"/>
            <w:gridSpan w:val="10"/>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28</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56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7"/>
              </w:rPr>
              <w:t>Director Candidates and Selection Processes</w:t>
            </w:r>
          </w:p>
        </w:tc>
        <w:tc>
          <w:tcPr>
            <w:tcW w:w="100" w:type="dxa"/>
            <w:vAlign w:val="bottom"/>
          </w:tcPr>
          <w:p>
            <w:pPr>
              <w:spacing w:after="0"/>
              <w:rPr>
                <w:sz w:val="20"/>
                <w:szCs w:val="20"/>
                <w:color w:val="auto"/>
              </w:rPr>
            </w:pPr>
          </w:p>
        </w:tc>
        <w:tc>
          <w:tcPr>
            <w:tcW w:w="540" w:type="dxa"/>
            <w:vAlign w:val="bottom"/>
            <w:gridSpan w:val="3"/>
          </w:tcPr>
          <w:p>
            <w:pPr>
              <w:spacing w:after="0"/>
              <w:rPr>
                <w:sz w:val="20"/>
                <w:szCs w:val="20"/>
                <w:color w:val="auto"/>
              </w:rPr>
            </w:pPr>
          </w:p>
        </w:tc>
        <w:tc>
          <w:tcPr>
            <w:tcW w:w="4140" w:type="dxa"/>
            <w:vAlign w:val="bottom"/>
            <w:gridSpan w:val="7"/>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30</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204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7"/>
              </w:rPr>
              <w:t>Board Evaluation Process</w:t>
            </w:r>
          </w:p>
        </w:tc>
        <w:tc>
          <w:tcPr>
            <w:tcW w:w="1420" w:type="dxa"/>
            <w:vAlign w:val="bottom"/>
            <w:gridSpan w:val="10"/>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30</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18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Corporate Governance</w:t>
            </w:r>
          </w:p>
        </w:tc>
        <w:tc>
          <w:tcPr>
            <w:tcW w:w="120" w:type="dxa"/>
            <w:vAlign w:val="bottom"/>
            <w:gridSpan w:val="2"/>
          </w:tcPr>
          <w:p>
            <w:pPr>
              <w:spacing w:after="0"/>
              <w:rPr>
                <w:sz w:val="20"/>
                <w:szCs w:val="20"/>
                <w:color w:val="auto"/>
              </w:rPr>
            </w:pPr>
          </w:p>
        </w:tc>
        <w:tc>
          <w:tcPr>
            <w:tcW w:w="1520" w:type="dxa"/>
            <w:vAlign w:val="bottom"/>
            <w:gridSpan w:val="12"/>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31</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34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7"/>
              </w:rPr>
              <w:t>Communications with our Board of Directors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31</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11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Code of Ethics</w:t>
            </w:r>
          </w:p>
        </w:tc>
        <w:tc>
          <w:tcPr>
            <w:tcW w:w="780" w:type="dxa"/>
            <w:vAlign w:val="bottom"/>
            <w:gridSpan w:val="8"/>
          </w:tcPr>
          <w:p>
            <w:pPr>
              <w:spacing w:after="0"/>
              <w:rPr>
                <w:sz w:val="20"/>
                <w:szCs w:val="20"/>
                <w:color w:val="auto"/>
              </w:rPr>
            </w:pPr>
          </w:p>
        </w:tc>
        <w:tc>
          <w:tcPr>
            <w:tcW w:w="1560" w:type="dxa"/>
            <w:vAlign w:val="bottom"/>
            <w:gridSpan w:val="13"/>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31</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19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6"/>
              </w:rPr>
              <w:t>Securities Trading Policy</w:t>
            </w:r>
          </w:p>
        </w:tc>
        <w:tc>
          <w:tcPr>
            <w:tcW w:w="1560" w:type="dxa"/>
            <w:vAlign w:val="bottom"/>
            <w:gridSpan w:val="13"/>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31</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66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7"/>
              </w:rPr>
              <w:t>Prohibition on Hedging and Pledging our Stock</w:t>
            </w:r>
          </w:p>
        </w:tc>
        <w:tc>
          <w:tcPr>
            <w:tcW w:w="540" w:type="dxa"/>
            <w:vAlign w:val="bottom"/>
            <w:gridSpan w:val="3"/>
          </w:tcPr>
          <w:p>
            <w:pPr>
              <w:spacing w:after="0"/>
              <w:rPr>
                <w:sz w:val="20"/>
                <w:szCs w:val="20"/>
                <w:color w:val="auto"/>
              </w:rPr>
            </w:pPr>
          </w:p>
        </w:tc>
        <w:tc>
          <w:tcPr>
            <w:tcW w:w="4140" w:type="dxa"/>
            <w:vAlign w:val="bottom"/>
            <w:gridSpan w:val="7"/>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32</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420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7"/>
              </w:rPr>
              <w:t>Certain Relationships and Related-Party Transactions</w:t>
            </w:r>
          </w:p>
        </w:tc>
        <w:tc>
          <w:tcPr>
            <w:tcW w:w="4140" w:type="dxa"/>
            <w:vAlign w:val="bottom"/>
            <w:gridSpan w:val="7"/>
          </w:tcPr>
          <w:p>
            <w:pPr>
              <w:spacing w:after="0"/>
              <w:rPr>
                <w:sz w:val="20"/>
                <w:szCs w:val="20"/>
                <w:color w:val="auto"/>
              </w:rPr>
            </w:pPr>
          </w:p>
        </w:tc>
        <w:tc>
          <w:tcPr>
            <w:tcW w:w="540" w:type="dxa"/>
            <w:vAlign w:val="bottom"/>
          </w:tcPr>
          <w:p>
            <w:pPr>
              <w:ind w:left="32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Arial" w:cs="Arial" w:eastAsia="Arial" w:hAnsi="Arial"/>
                <w:sz w:val="18"/>
                <w:szCs w:val="18"/>
                <w:color w:val="0000EE"/>
                <w:w w:val="89"/>
              </w:rPr>
              <w:t>32</w:t>
            </w: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0"/>
        </w:trPr>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6800" w:type="dxa"/>
            <w:vAlign w:val="bottom"/>
            <w:gridSpan w:val="9"/>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0"/>
        </w:trPr>
        <w:tc>
          <w:tcPr>
            <w:tcW w:w="700" w:type="dxa"/>
            <w:vAlign w:val="bottom"/>
          </w:tcPr>
          <w:p>
            <w:pPr>
              <w:spacing w:after="0"/>
              <w:rPr>
                <w:sz w:val="24"/>
                <w:szCs w:val="24"/>
                <w:color w:val="auto"/>
              </w:rPr>
            </w:pPr>
          </w:p>
        </w:tc>
        <w:tc>
          <w:tcPr>
            <w:tcW w:w="6100" w:type="dxa"/>
            <w:vAlign w:val="bottom"/>
            <w:gridSpan w:val="8"/>
          </w:tcPr>
          <w:p>
            <w:pPr>
              <w:spacing w:after="0"/>
              <w:rPr>
                <w:sz w:val="20"/>
                <w:szCs w:val="20"/>
                <w:color w:val="auto"/>
              </w:rPr>
            </w:pPr>
            <w:r>
              <w:rPr>
                <w:rFonts w:ascii="Arial" w:cs="Arial" w:eastAsia="Arial" w:hAnsi="Arial"/>
                <w:sz w:val="14"/>
                <w:szCs w:val="14"/>
                <w:b w:val="1"/>
                <w:bCs w:val="1"/>
                <w:color w:val="auto"/>
              </w:rPr>
              <w:t>​</w:t>
            </w:r>
          </w:p>
        </w:tc>
        <w:tc>
          <w:tcPr>
            <w:tcW w:w="2780" w:type="dxa"/>
            <w:vAlign w:val="bottom"/>
          </w:tcPr>
          <w:p>
            <w:pPr>
              <w:ind w:left="2560"/>
              <w:spacing w:after="0"/>
              <w:rPr>
                <w:sz w:val="20"/>
                <w:szCs w:val="20"/>
                <w:color w:val="auto"/>
              </w:rPr>
            </w:pPr>
            <w:r>
              <w:rPr>
                <w:rFonts w:ascii="Arial" w:cs="Arial" w:eastAsia="Arial" w:hAnsi="Arial"/>
                <w:sz w:val="14"/>
                <w:szCs w:val="14"/>
                <w:b w:val="1"/>
                <w:bCs w:val="1"/>
                <w:color w:val="auto"/>
              </w:rPr>
              <w:t>​ ​</w:t>
            </w:r>
          </w:p>
        </w:tc>
        <w:tc>
          <w:tcPr>
            <w:tcW w:w="480" w:type="dxa"/>
            <w:vAlign w:val="bottom"/>
            <w:gridSpan w:val="4"/>
          </w:tcPr>
          <w:p>
            <w:pPr>
              <w:ind w:left="60"/>
              <w:spacing w:after="0"/>
              <w:rPr>
                <w:sz w:val="20"/>
                <w:szCs w:val="20"/>
                <w:color w:val="auto"/>
              </w:rPr>
            </w:pPr>
            <w:r>
              <w:rPr>
                <w:rFonts w:ascii="Arial" w:cs="Arial" w:eastAsia="Arial" w:hAnsi="Arial"/>
                <w:sz w:val="14"/>
                <w:szCs w:val="14"/>
                <w:b w:val="1"/>
                <w:bCs w:val="1"/>
                <w:color w:val="auto"/>
              </w:rPr>
              <w:t xml:space="preserve">Page </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120" w:type="dxa"/>
            <w:vAlign w:val="bottom"/>
            <w:gridSpan w:val="3"/>
            <w:vMerge w:val="restart"/>
          </w:tcPr>
          <w:p>
            <w:pPr>
              <w:spacing w:after="0"/>
              <w:rPr>
                <w:sz w:val="20"/>
                <w:szCs w:val="20"/>
                <w:color w:val="auto"/>
              </w:rPr>
            </w:pPr>
            <w:r>
              <w:rPr>
                <w:rFonts w:ascii="Arial" w:cs="Arial" w:eastAsia="Arial" w:hAnsi="Arial"/>
                <w:sz w:val="20"/>
                <w:szCs w:val="20"/>
                <w:b w:val="1"/>
                <w:bCs w:val="1"/>
                <w:color w:val="395796"/>
                <w:w w:val="91"/>
              </w:rPr>
              <w:t>Audit Committee Report</w:t>
            </w: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0" w:type="dxa"/>
            <w:vAlign w:val="bottom"/>
            <w:shd w:val="clear" w:color="auto" w:fill="395796"/>
          </w:tcPr>
          <w:p>
            <w:pPr>
              <w:spacing w:after="0" w:line="20" w:lineRule="exact"/>
              <w:rPr>
                <w:sz w:val="1"/>
                <w:szCs w:val="1"/>
                <w:color w:val="auto"/>
              </w:rPr>
            </w:pPr>
          </w:p>
        </w:tc>
        <w:tc>
          <w:tcPr>
            <w:tcW w:w="20" w:type="dxa"/>
            <w:vAlign w:val="bottom"/>
            <w:shd w:val="clear" w:color="auto" w:fill="395796"/>
          </w:tcPr>
          <w:p>
            <w:pPr>
              <w:spacing w:after="0" w:line="20" w:lineRule="exact"/>
              <w:rPr>
                <w:sz w:val="1"/>
                <w:szCs w:val="1"/>
                <w:color w:val="auto"/>
              </w:rPr>
            </w:pPr>
          </w:p>
        </w:tc>
        <w:tc>
          <w:tcPr>
            <w:tcW w:w="200" w:type="dxa"/>
            <w:vAlign w:val="bottom"/>
            <w:tcBorders>
              <w:right w:val="single" w:sz="8" w:color="395796"/>
            </w:tcBorders>
            <w:shd w:val="clear" w:color="auto" w:fill="39579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00" w:type="dxa"/>
            <w:vAlign w:val="bottom"/>
          </w:tcPr>
          <w:p>
            <w:pPr>
              <w:spacing w:after="0"/>
              <w:rPr>
                <w:sz w:val="24"/>
                <w:szCs w:val="24"/>
                <w:color w:val="auto"/>
              </w:rPr>
            </w:pPr>
          </w:p>
        </w:tc>
        <w:tc>
          <w:tcPr>
            <w:tcW w:w="2120" w:type="dxa"/>
            <w:vAlign w:val="bottom"/>
            <w:tcBorders>
              <w:bottom w:val="single" w:sz="8" w:color="395796"/>
            </w:tcBorders>
            <w:gridSpan w:val="3"/>
            <w:vMerge w:val="continue"/>
          </w:tcPr>
          <w:p>
            <w:pPr>
              <w:spacing w:after="0"/>
              <w:rPr>
                <w:sz w:val="24"/>
                <w:szCs w:val="24"/>
                <w:color w:val="auto"/>
              </w:rPr>
            </w:pPr>
          </w:p>
        </w:tc>
        <w:tc>
          <w:tcPr>
            <w:tcW w:w="3980" w:type="dxa"/>
            <w:vAlign w:val="bottom"/>
            <w:gridSpan w:val="5"/>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256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8"/>
                <w:szCs w:val="18"/>
                <w:b w:val="1"/>
                <w:bCs w:val="1"/>
                <w:color w:val="0000EE"/>
                <w:w w:val="79"/>
              </w:rPr>
              <w:t>34</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196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280" w:type="dxa"/>
            <w:vAlign w:val="bottom"/>
            <w:tcBorders>
              <w:bottom w:val="single" w:sz="8" w:color="395796"/>
            </w:tcBorders>
          </w:tcPr>
          <w:p>
            <w:pPr>
              <w:spacing w:after="0"/>
              <w:rPr>
                <w:sz w:val="4"/>
                <w:szCs w:val="4"/>
                <w:color w:val="auto"/>
              </w:rPr>
            </w:pPr>
          </w:p>
        </w:tc>
        <w:tc>
          <w:tcPr>
            <w:tcW w:w="48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500" w:type="dxa"/>
            <w:vAlign w:val="bottom"/>
            <w:tcBorders>
              <w:bottom w:val="single" w:sz="8" w:color="395796"/>
            </w:tcBorders>
          </w:tcPr>
          <w:p>
            <w:pPr>
              <w:spacing w:after="0"/>
              <w:rPr>
                <w:sz w:val="4"/>
                <w:szCs w:val="4"/>
                <w:color w:val="auto"/>
              </w:rPr>
            </w:pPr>
          </w:p>
        </w:tc>
        <w:tc>
          <w:tcPr>
            <w:tcW w:w="2620" w:type="dxa"/>
            <w:vAlign w:val="bottom"/>
            <w:tcBorders>
              <w:bottom w:val="single" w:sz="8" w:color="395796"/>
            </w:tcBorders>
          </w:tcPr>
          <w:p>
            <w:pPr>
              <w:spacing w:after="0"/>
              <w:rPr>
                <w:sz w:val="4"/>
                <w:szCs w:val="4"/>
                <w:color w:val="auto"/>
              </w:rPr>
            </w:pPr>
          </w:p>
        </w:tc>
        <w:tc>
          <w:tcPr>
            <w:tcW w:w="278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700" w:type="dxa"/>
            <w:vAlign w:val="bottom"/>
          </w:tcPr>
          <w:p>
            <w:pPr>
              <w:spacing w:after="0"/>
              <w:rPr>
                <w:sz w:val="24"/>
                <w:szCs w:val="24"/>
                <w:color w:val="auto"/>
              </w:rPr>
            </w:pPr>
          </w:p>
        </w:tc>
        <w:tc>
          <w:tcPr>
            <w:tcW w:w="3480" w:type="dxa"/>
            <w:vAlign w:val="bottom"/>
            <w:tcBorders>
              <w:bottom w:val="single" w:sz="8" w:color="395796"/>
            </w:tcBorders>
            <w:gridSpan w:val="7"/>
          </w:tcPr>
          <w:p>
            <w:pPr>
              <w:spacing w:after="0"/>
              <w:rPr>
                <w:sz w:val="20"/>
                <w:szCs w:val="20"/>
                <w:color w:val="auto"/>
              </w:rPr>
            </w:pPr>
            <w:r>
              <w:rPr>
                <w:rFonts w:ascii="Arial" w:cs="Arial" w:eastAsia="Arial" w:hAnsi="Arial"/>
                <w:sz w:val="20"/>
                <w:szCs w:val="20"/>
                <w:b w:val="1"/>
                <w:bCs w:val="1"/>
                <w:color w:val="395796"/>
                <w:w w:val="91"/>
              </w:rPr>
              <w:t>Principal Accountant Fees and Services</w:t>
            </w:r>
          </w:p>
        </w:tc>
        <w:tc>
          <w:tcPr>
            <w:tcW w:w="262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256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8"/>
                <w:szCs w:val="18"/>
                <w:b w:val="1"/>
                <w:bCs w:val="1"/>
                <w:color w:val="0000EE"/>
                <w:w w:val="79"/>
              </w:rPr>
              <w:t>35</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196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280" w:type="dxa"/>
            <w:vAlign w:val="bottom"/>
            <w:tcBorders>
              <w:bottom w:val="single" w:sz="8" w:color="395796"/>
            </w:tcBorders>
          </w:tcPr>
          <w:p>
            <w:pPr>
              <w:spacing w:after="0"/>
              <w:rPr>
                <w:sz w:val="4"/>
                <w:szCs w:val="4"/>
                <w:color w:val="auto"/>
              </w:rPr>
            </w:pPr>
          </w:p>
        </w:tc>
        <w:tc>
          <w:tcPr>
            <w:tcW w:w="48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500" w:type="dxa"/>
            <w:vAlign w:val="bottom"/>
            <w:tcBorders>
              <w:bottom w:val="single" w:sz="8" w:color="395796"/>
            </w:tcBorders>
          </w:tcPr>
          <w:p>
            <w:pPr>
              <w:spacing w:after="0"/>
              <w:rPr>
                <w:sz w:val="4"/>
                <w:szCs w:val="4"/>
                <w:color w:val="auto"/>
              </w:rPr>
            </w:pPr>
          </w:p>
        </w:tc>
        <w:tc>
          <w:tcPr>
            <w:tcW w:w="2620" w:type="dxa"/>
            <w:vAlign w:val="bottom"/>
            <w:tcBorders>
              <w:bottom w:val="single" w:sz="8" w:color="395796"/>
            </w:tcBorders>
          </w:tcPr>
          <w:p>
            <w:pPr>
              <w:spacing w:after="0"/>
              <w:rPr>
                <w:sz w:val="4"/>
                <w:szCs w:val="4"/>
                <w:color w:val="auto"/>
              </w:rPr>
            </w:pPr>
          </w:p>
        </w:tc>
        <w:tc>
          <w:tcPr>
            <w:tcW w:w="278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24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Fees for Professional Services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20" w:type="dxa"/>
            <w:vAlign w:val="bottom"/>
            <w:gridSpan w:val="2"/>
          </w:tcPr>
          <w:p>
            <w:pPr>
              <w:spacing w:after="0"/>
              <w:rPr>
                <w:sz w:val="18"/>
                <w:szCs w:val="18"/>
                <w:color w:val="auto"/>
              </w:rPr>
            </w:pPr>
          </w:p>
        </w:tc>
        <w:tc>
          <w:tcPr>
            <w:tcW w:w="2780" w:type="dxa"/>
            <w:vAlign w:val="bottom"/>
          </w:tcPr>
          <w:p>
            <w:pPr>
              <w:ind w:left="256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8"/>
                <w:szCs w:val="18"/>
                <w:color w:val="auto"/>
              </w:rPr>
            </w:pPr>
          </w:p>
        </w:tc>
        <w:tc>
          <w:tcPr>
            <w:tcW w:w="220" w:type="dxa"/>
            <w:vAlign w:val="bottom"/>
            <w:tcBorders>
              <w:bottom w:val="single" w:sz="8" w:color="0000EE"/>
            </w:tcBorders>
            <w:gridSpan w:val="2"/>
          </w:tcPr>
          <w:p>
            <w:pPr>
              <w:jc w:val="right"/>
              <w:spacing w:after="0" w:line="196" w:lineRule="exact"/>
              <w:rPr>
                <w:sz w:val="20"/>
                <w:szCs w:val="20"/>
                <w:color w:val="auto"/>
              </w:rPr>
            </w:pPr>
            <w:r>
              <w:rPr>
                <w:rFonts w:ascii="Arial" w:cs="Arial" w:eastAsia="Arial" w:hAnsi="Arial"/>
                <w:sz w:val="18"/>
                <w:szCs w:val="18"/>
                <w:color w:val="0000EE"/>
                <w:w w:val="89"/>
              </w:rPr>
              <w:t>35</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29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7"/>
              </w:rPr>
              <w:t>Pre-Approval Policies and Procedures</w:t>
            </w:r>
          </w:p>
        </w:tc>
        <w:tc>
          <w:tcPr>
            <w:tcW w:w="3120" w:type="dxa"/>
            <w:vAlign w:val="bottom"/>
            <w:gridSpan w:val="2"/>
          </w:tcPr>
          <w:p>
            <w:pPr>
              <w:spacing w:after="0"/>
              <w:rPr>
                <w:sz w:val="20"/>
                <w:szCs w:val="20"/>
                <w:color w:val="auto"/>
              </w:rPr>
            </w:pPr>
          </w:p>
        </w:tc>
        <w:tc>
          <w:tcPr>
            <w:tcW w:w="2780" w:type="dxa"/>
            <w:vAlign w:val="bottom"/>
          </w:tcPr>
          <w:p>
            <w:pPr>
              <w:ind w:left="256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0"/>
                <w:szCs w:val="20"/>
                <w:color w:val="auto"/>
              </w:rPr>
            </w:pPr>
          </w:p>
        </w:tc>
        <w:tc>
          <w:tcPr>
            <w:tcW w:w="22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89"/>
              </w:rPr>
              <w:t>35</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8"/>
        </w:trPr>
        <w:tc>
          <w:tcPr>
            <w:tcW w:w="700" w:type="dxa"/>
            <w:vAlign w:val="bottom"/>
          </w:tcPr>
          <w:p>
            <w:pPr>
              <w:spacing w:after="0"/>
              <w:rPr>
                <w:sz w:val="24"/>
                <w:szCs w:val="24"/>
                <w:color w:val="auto"/>
              </w:rPr>
            </w:pPr>
          </w:p>
        </w:tc>
        <w:tc>
          <w:tcPr>
            <w:tcW w:w="2880" w:type="dxa"/>
            <w:vAlign w:val="bottom"/>
            <w:tcBorders>
              <w:bottom w:val="single" w:sz="8" w:color="395796"/>
            </w:tcBorders>
            <w:gridSpan w:val="5"/>
          </w:tcPr>
          <w:p>
            <w:pPr>
              <w:spacing w:after="0"/>
              <w:rPr>
                <w:sz w:val="20"/>
                <w:szCs w:val="20"/>
                <w:color w:val="auto"/>
              </w:rPr>
            </w:pPr>
            <w:r>
              <w:rPr>
                <w:rFonts w:ascii="Arial" w:cs="Arial" w:eastAsia="Arial" w:hAnsi="Arial"/>
                <w:sz w:val="20"/>
                <w:szCs w:val="20"/>
                <w:b w:val="1"/>
                <w:bCs w:val="1"/>
                <w:color w:val="395796"/>
                <w:w w:val="90"/>
              </w:rPr>
              <w:t>Delinquent Section 16(a) Reports</w:t>
            </w:r>
          </w:p>
        </w:tc>
        <w:tc>
          <w:tcPr>
            <w:tcW w:w="3220" w:type="dxa"/>
            <w:vAlign w:val="bottom"/>
            <w:gridSpan w:val="3"/>
          </w:tcPr>
          <w:p>
            <w:pPr>
              <w:spacing w:after="0"/>
              <w:rPr>
                <w:sz w:val="24"/>
                <w:szCs w:val="24"/>
                <w:color w:val="auto"/>
              </w:rPr>
            </w:pPr>
          </w:p>
        </w:tc>
        <w:tc>
          <w:tcPr>
            <w:tcW w:w="2780" w:type="dxa"/>
            <w:vAlign w:val="bottom"/>
          </w:tcPr>
          <w:p>
            <w:pPr>
              <w:ind w:left="256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8"/>
                <w:szCs w:val="18"/>
                <w:b w:val="1"/>
                <w:bCs w:val="1"/>
                <w:color w:val="0000EE"/>
                <w:w w:val="79"/>
              </w:rPr>
              <w:t>35</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196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280" w:type="dxa"/>
            <w:vAlign w:val="bottom"/>
            <w:tcBorders>
              <w:bottom w:val="single" w:sz="8" w:color="395796"/>
            </w:tcBorders>
          </w:tcPr>
          <w:p>
            <w:pPr>
              <w:spacing w:after="0"/>
              <w:rPr>
                <w:sz w:val="4"/>
                <w:szCs w:val="4"/>
                <w:color w:val="auto"/>
              </w:rPr>
            </w:pPr>
          </w:p>
        </w:tc>
        <w:tc>
          <w:tcPr>
            <w:tcW w:w="48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500" w:type="dxa"/>
            <w:vAlign w:val="bottom"/>
            <w:tcBorders>
              <w:bottom w:val="single" w:sz="8" w:color="395796"/>
            </w:tcBorders>
          </w:tcPr>
          <w:p>
            <w:pPr>
              <w:spacing w:after="0"/>
              <w:rPr>
                <w:sz w:val="4"/>
                <w:szCs w:val="4"/>
                <w:color w:val="auto"/>
              </w:rPr>
            </w:pPr>
          </w:p>
        </w:tc>
        <w:tc>
          <w:tcPr>
            <w:tcW w:w="2620" w:type="dxa"/>
            <w:vAlign w:val="bottom"/>
            <w:tcBorders>
              <w:bottom w:val="single" w:sz="8" w:color="395796"/>
            </w:tcBorders>
          </w:tcPr>
          <w:p>
            <w:pPr>
              <w:spacing w:after="0"/>
              <w:rPr>
                <w:sz w:val="4"/>
                <w:szCs w:val="4"/>
                <w:color w:val="auto"/>
              </w:rPr>
            </w:pPr>
          </w:p>
        </w:tc>
        <w:tc>
          <w:tcPr>
            <w:tcW w:w="278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700" w:type="dxa"/>
            <w:vAlign w:val="bottom"/>
          </w:tcPr>
          <w:p>
            <w:pPr>
              <w:spacing w:after="0"/>
              <w:rPr>
                <w:sz w:val="24"/>
                <w:szCs w:val="24"/>
                <w:color w:val="auto"/>
              </w:rPr>
            </w:pPr>
          </w:p>
        </w:tc>
        <w:tc>
          <w:tcPr>
            <w:tcW w:w="2000" w:type="dxa"/>
            <w:vAlign w:val="bottom"/>
            <w:tcBorders>
              <w:bottom w:val="single" w:sz="8" w:color="395796"/>
            </w:tcBorders>
            <w:gridSpan w:val="2"/>
          </w:tcPr>
          <w:p>
            <w:pPr>
              <w:spacing w:after="0"/>
              <w:rPr>
                <w:sz w:val="20"/>
                <w:szCs w:val="20"/>
                <w:color w:val="auto"/>
              </w:rPr>
            </w:pPr>
            <w:r>
              <w:rPr>
                <w:rFonts w:ascii="Arial" w:cs="Arial" w:eastAsia="Arial" w:hAnsi="Arial"/>
                <w:sz w:val="20"/>
                <w:szCs w:val="20"/>
                <w:b w:val="1"/>
                <w:bCs w:val="1"/>
                <w:color w:val="395796"/>
                <w:w w:val="90"/>
              </w:rPr>
              <w:t>Stockholder Proposals</w:t>
            </w:r>
          </w:p>
        </w:tc>
        <w:tc>
          <w:tcPr>
            <w:tcW w:w="4100" w:type="dxa"/>
            <w:vAlign w:val="bottom"/>
            <w:gridSpan w:val="6"/>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256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8"/>
                <w:szCs w:val="18"/>
                <w:b w:val="1"/>
                <w:bCs w:val="1"/>
                <w:color w:val="0000EE"/>
                <w:w w:val="79"/>
              </w:rPr>
              <w:t>36</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196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280" w:type="dxa"/>
            <w:vAlign w:val="bottom"/>
            <w:tcBorders>
              <w:bottom w:val="single" w:sz="8" w:color="395796"/>
            </w:tcBorders>
          </w:tcPr>
          <w:p>
            <w:pPr>
              <w:spacing w:after="0"/>
              <w:rPr>
                <w:sz w:val="4"/>
                <w:szCs w:val="4"/>
                <w:color w:val="auto"/>
              </w:rPr>
            </w:pPr>
          </w:p>
        </w:tc>
        <w:tc>
          <w:tcPr>
            <w:tcW w:w="48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500" w:type="dxa"/>
            <w:vAlign w:val="bottom"/>
            <w:tcBorders>
              <w:bottom w:val="single" w:sz="8" w:color="395796"/>
            </w:tcBorders>
          </w:tcPr>
          <w:p>
            <w:pPr>
              <w:spacing w:after="0"/>
              <w:rPr>
                <w:sz w:val="4"/>
                <w:szCs w:val="4"/>
                <w:color w:val="auto"/>
              </w:rPr>
            </w:pPr>
          </w:p>
        </w:tc>
        <w:tc>
          <w:tcPr>
            <w:tcW w:w="2620" w:type="dxa"/>
            <w:vAlign w:val="bottom"/>
            <w:tcBorders>
              <w:bottom w:val="single" w:sz="8" w:color="395796"/>
            </w:tcBorders>
          </w:tcPr>
          <w:p>
            <w:pPr>
              <w:spacing w:after="0"/>
              <w:rPr>
                <w:sz w:val="4"/>
                <w:szCs w:val="4"/>
                <w:color w:val="auto"/>
              </w:rPr>
            </w:pPr>
          </w:p>
        </w:tc>
        <w:tc>
          <w:tcPr>
            <w:tcW w:w="278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700" w:type="dxa"/>
            <w:vAlign w:val="bottom"/>
          </w:tcPr>
          <w:p>
            <w:pPr>
              <w:spacing w:after="0"/>
              <w:rPr>
                <w:sz w:val="24"/>
                <w:szCs w:val="24"/>
                <w:color w:val="auto"/>
              </w:rPr>
            </w:pPr>
          </w:p>
        </w:tc>
        <w:tc>
          <w:tcPr>
            <w:tcW w:w="1960" w:type="dxa"/>
            <w:vAlign w:val="bottom"/>
            <w:tcBorders>
              <w:bottom w:val="single" w:sz="8" w:color="395796"/>
            </w:tcBorders>
          </w:tcPr>
          <w:p>
            <w:pPr>
              <w:spacing w:after="0"/>
              <w:rPr>
                <w:sz w:val="20"/>
                <w:szCs w:val="20"/>
                <w:color w:val="auto"/>
              </w:rPr>
            </w:pPr>
            <w:r>
              <w:rPr>
                <w:rFonts w:ascii="Arial" w:cs="Arial" w:eastAsia="Arial" w:hAnsi="Arial"/>
                <w:sz w:val="20"/>
                <w:szCs w:val="20"/>
                <w:b w:val="1"/>
                <w:bCs w:val="1"/>
                <w:color w:val="395796"/>
                <w:w w:val="90"/>
              </w:rPr>
              <w:t>Additional Information</w:t>
            </w:r>
          </w:p>
        </w:tc>
        <w:tc>
          <w:tcPr>
            <w:tcW w:w="4140" w:type="dxa"/>
            <w:vAlign w:val="bottom"/>
            <w:gridSpan w:val="7"/>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2560"/>
              <w:spacing w:after="0"/>
              <w:rPr>
                <w:sz w:val="20"/>
                <w:szCs w:val="20"/>
                <w:color w:val="auto"/>
              </w:rPr>
            </w:pPr>
            <w:r>
              <w:rPr>
                <w:rFonts w:ascii="Arial" w:cs="Arial" w:eastAsia="Arial" w:hAnsi="Arial"/>
                <w:sz w:val="18"/>
                <w:szCs w:val="18"/>
                <w:b w:val="1"/>
                <w:bCs w:val="1"/>
                <w:color w:val="auto"/>
              </w:rPr>
              <w:t>​ ​</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sz w:val="20"/>
                <w:szCs w:val="20"/>
                <w:color w:val="auto"/>
              </w:rPr>
            </w:pPr>
            <w:r>
              <w:rPr>
                <w:rFonts w:ascii="Arial" w:cs="Arial" w:eastAsia="Arial" w:hAnsi="Arial"/>
                <w:sz w:val="18"/>
                <w:szCs w:val="18"/>
                <w:b w:val="1"/>
                <w:bCs w:val="1"/>
                <w:color w:val="0000EE"/>
                <w:w w:val="79"/>
              </w:rPr>
              <w:t>36</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1960" w:type="dxa"/>
            <w:vAlign w:val="bottom"/>
            <w:tcBorders>
              <w:bottom w:val="single" w:sz="8" w:color="395796"/>
            </w:tcBorders>
          </w:tcPr>
          <w:p>
            <w:pPr>
              <w:spacing w:after="0"/>
              <w:rPr>
                <w:sz w:val="4"/>
                <w:szCs w:val="4"/>
                <w:color w:val="auto"/>
              </w:rPr>
            </w:pPr>
          </w:p>
        </w:tc>
        <w:tc>
          <w:tcPr>
            <w:tcW w:w="40" w:type="dxa"/>
            <w:vAlign w:val="bottom"/>
            <w:tcBorders>
              <w:bottom w:val="single" w:sz="8" w:color="395796"/>
            </w:tcBorders>
          </w:tcPr>
          <w:p>
            <w:pPr>
              <w:spacing w:after="0"/>
              <w:rPr>
                <w:sz w:val="4"/>
                <w:szCs w:val="4"/>
                <w:color w:val="auto"/>
              </w:rPr>
            </w:pPr>
          </w:p>
        </w:tc>
        <w:tc>
          <w:tcPr>
            <w:tcW w:w="120" w:type="dxa"/>
            <w:vAlign w:val="bottom"/>
            <w:tcBorders>
              <w:bottom w:val="single" w:sz="8" w:color="395796"/>
            </w:tcBorders>
          </w:tcPr>
          <w:p>
            <w:pPr>
              <w:spacing w:after="0"/>
              <w:rPr>
                <w:sz w:val="4"/>
                <w:szCs w:val="4"/>
                <w:color w:val="auto"/>
              </w:rPr>
            </w:pPr>
          </w:p>
        </w:tc>
        <w:tc>
          <w:tcPr>
            <w:tcW w:w="280" w:type="dxa"/>
            <w:vAlign w:val="bottom"/>
            <w:tcBorders>
              <w:bottom w:val="single" w:sz="8" w:color="395796"/>
            </w:tcBorders>
          </w:tcPr>
          <w:p>
            <w:pPr>
              <w:spacing w:after="0"/>
              <w:rPr>
                <w:sz w:val="4"/>
                <w:szCs w:val="4"/>
                <w:color w:val="auto"/>
              </w:rPr>
            </w:pPr>
          </w:p>
        </w:tc>
        <w:tc>
          <w:tcPr>
            <w:tcW w:w="480" w:type="dxa"/>
            <w:vAlign w:val="bottom"/>
            <w:tcBorders>
              <w:bottom w:val="single" w:sz="8" w:color="395796"/>
            </w:tcBorders>
          </w:tcPr>
          <w:p>
            <w:pPr>
              <w:spacing w:after="0"/>
              <w:rPr>
                <w:sz w:val="4"/>
                <w:szCs w:val="4"/>
                <w:color w:val="auto"/>
              </w:rPr>
            </w:pPr>
          </w:p>
        </w:tc>
        <w:tc>
          <w:tcPr>
            <w:tcW w:w="100" w:type="dxa"/>
            <w:vAlign w:val="bottom"/>
            <w:tcBorders>
              <w:bottom w:val="single" w:sz="8" w:color="395796"/>
            </w:tcBorders>
          </w:tcPr>
          <w:p>
            <w:pPr>
              <w:spacing w:after="0"/>
              <w:rPr>
                <w:sz w:val="4"/>
                <w:szCs w:val="4"/>
                <w:color w:val="auto"/>
              </w:rPr>
            </w:pPr>
          </w:p>
        </w:tc>
        <w:tc>
          <w:tcPr>
            <w:tcW w:w="500" w:type="dxa"/>
            <w:vAlign w:val="bottom"/>
            <w:tcBorders>
              <w:bottom w:val="single" w:sz="8" w:color="395796"/>
            </w:tcBorders>
          </w:tcPr>
          <w:p>
            <w:pPr>
              <w:spacing w:after="0"/>
              <w:rPr>
                <w:sz w:val="4"/>
                <w:szCs w:val="4"/>
                <w:color w:val="auto"/>
              </w:rPr>
            </w:pPr>
          </w:p>
        </w:tc>
        <w:tc>
          <w:tcPr>
            <w:tcW w:w="2620" w:type="dxa"/>
            <w:vAlign w:val="bottom"/>
            <w:tcBorders>
              <w:bottom w:val="single" w:sz="8" w:color="395796"/>
            </w:tcBorders>
          </w:tcPr>
          <w:p>
            <w:pPr>
              <w:spacing w:after="0"/>
              <w:rPr>
                <w:sz w:val="4"/>
                <w:szCs w:val="4"/>
                <w:color w:val="auto"/>
              </w:rPr>
            </w:pPr>
          </w:p>
        </w:tc>
        <w:tc>
          <w:tcPr>
            <w:tcW w:w="2780" w:type="dxa"/>
            <w:vAlign w:val="bottom"/>
            <w:tcBorders>
              <w:bottom w:val="single" w:sz="8" w:color="395796"/>
            </w:tcBorders>
          </w:tcPr>
          <w:p>
            <w:pPr>
              <w:spacing w:after="0"/>
              <w:rPr>
                <w:sz w:val="4"/>
                <w:szCs w:val="4"/>
                <w:color w:val="auto"/>
              </w:rPr>
            </w:pPr>
          </w:p>
        </w:tc>
        <w:tc>
          <w:tcPr>
            <w:tcW w:w="220" w:type="dxa"/>
            <w:vAlign w:val="bottom"/>
            <w:tcBorders>
              <w:bottom w:val="single" w:sz="8" w:color="395796"/>
            </w:tcBorders>
          </w:tcPr>
          <w:p>
            <w:pPr>
              <w:spacing w:after="0"/>
              <w:rPr>
                <w:sz w:val="4"/>
                <w:szCs w:val="4"/>
                <w:color w:val="auto"/>
              </w:rPr>
            </w:pPr>
          </w:p>
        </w:tc>
        <w:tc>
          <w:tcPr>
            <w:tcW w:w="20" w:type="dxa"/>
            <w:vAlign w:val="bottom"/>
            <w:tcBorders>
              <w:bottom w:val="single" w:sz="8" w:color="395796"/>
            </w:tcBorders>
          </w:tcPr>
          <w:p>
            <w:pPr>
              <w:spacing w:after="0"/>
              <w:rPr>
                <w:sz w:val="4"/>
                <w:szCs w:val="4"/>
                <w:color w:val="auto"/>
              </w:rPr>
            </w:pPr>
          </w:p>
        </w:tc>
        <w:tc>
          <w:tcPr>
            <w:tcW w:w="200" w:type="dxa"/>
            <w:vAlign w:val="bottom"/>
            <w:tcBorders>
              <w:bottom w:val="single" w:sz="8" w:color="395796"/>
            </w:tcBorders>
          </w:tcPr>
          <w:p>
            <w:pPr>
              <w:spacing w:after="0"/>
              <w:rPr>
                <w:sz w:val="4"/>
                <w:szCs w:val="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6193790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700" w:right="40"/>
        <w:spacing w:after="0" w:line="259" w:lineRule="auto"/>
        <w:rPr>
          <w:sz w:val="20"/>
          <w:szCs w:val="20"/>
          <w:color w:val="auto"/>
        </w:rPr>
      </w:pPr>
      <w:r>
        <w:rPr>
          <w:rFonts w:ascii="Arial" w:cs="Arial" w:eastAsia="Arial" w:hAnsi="Arial"/>
          <w:sz w:val="18"/>
          <w:szCs w:val="18"/>
          <w:color w:val="auto"/>
        </w:rPr>
        <w:t>This proxy statement (including all appendices attached hereto, this “proxy statement”) is furnished in connection with the solicitation of proxies by the board of directors of KVH Industries, Inc., a Delaware corporation, for use at the 2026 annual meeting of stockholders of the company (including any adjournments, postponements, or continuations thereof, the “annual meeting”). Unless the context otherwise requires, references in this proxy statement to “KVH,” the “company,” “we,” “us,” “our,” and similar terms refer to KVH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139065</wp:posOffset>
            </wp:positionV>
            <wp:extent cx="102870"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139065</wp:posOffset>
            </wp:positionV>
            <wp:extent cx="102235"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235" cy="325755"/>
                    </a:xfrm>
                    <a:prstGeom prst="rect">
                      <a:avLst/>
                    </a:prstGeom>
                    <a:noFill/>
                  </pic:spPr>
                </pic:pic>
              </a:graphicData>
            </a:graphic>
          </wp:anchor>
        </w:drawing>
      </w:r>
    </w:p>
    <w:tbl>
      <w:tblPr>
        <w:tblLayout w:type="fixed"/>
        <w:tblInd w:w="700" w:type="dxa"/>
        <w:tblCellMar>
          <w:top w:w="0" w:type="dxa"/>
          <w:left w:w="0" w:type="dxa"/>
          <w:bottom w:w="0" w:type="dxa"/>
          <w:right w:w="0" w:type="dxa"/>
        </w:tblCellMar>
      </w:tblPr>
      <w:tr>
        <w:trPr>
          <w:trHeight w:val="310"/>
        </w:trPr>
        <w:tc>
          <w:tcPr>
            <w:tcW w:w="120" w:type="dxa"/>
            <w:vAlign w:val="bottom"/>
          </w:tcPr>
          <w:p>
            <w:pPr>
              <w:spacing w:after="0" w:line="310" w:lineRule="exact"/>
              <w:rPr>
                <w:sz w:val="20"/>
                <w:szCs w:val="20"/>
                <w:color w:val="auto"/>
              </w:rPr>
            </w:pPr>
            <w:r>
              <w:rPr>
                <w:rFonts w:ascii="Arial" w:cs="Arial" w:eastAsia="Arial" w:hAnsi="Arial"/>
                <w:sz w:val="32"/>
                <w:szCs w:val="32"/>
                <w:b w:val="1"/>
                <w:bCs w:val="1"/>
                <w:color w:val="FFFFFF"/>
              </w:rPr>
              <w:t>​</w:t>
            </w:r>
          </w:p>
        </w:tc>
        <w:tc>
          <w:tcPr>
            <w:tcW w:w="9060" w:type="dxa"/>
            <w:vAlign w:val="bottom"/>
            <w:shd w:val="clear" w:color="auto" w:fill="395796"/>
          </w:tcPr>
          <w:p>
            <w:pPr>
              <w:ind w:left="4820"/>
              <w:spacing w:after="0"/>
              <w:rPr>
                <w:sz w:val="20"/>
                <w:szCs w:val="20"/>
                <w:color w:val="auto"/>
              </w:rPr>
            </w:pPr>
            <w:r>
              <w:rPr>
                <w:rFonts w:ascii="Arial" w:cs="Arial" w:eastAsia="Arial" w:hAnsi="Arial"/>
                <w:sz w:val="18"/>
                <w:szCs w:val="18"/>
                <w:color w:val="FFFFFF"/>
              </w:rPr>
              <w:t>​</w:t>
            </w:r>
          </w:p>
        </w:tc>
        <w:tc>
          <w:tcPr>
            <w:tcW w:w="80" w:type="dxa"/>
            <w:vAlign w:val="bottom"/>
          </w:tcPr>
          <w:p>
            <w:pPr>
              <w:spacing w:after="0" w:line="310" w:lineRule="exact"/>
              <w:rPr>
                <w:sz w:val="20"/>
                <w:szCs w:val="20"/>
                <w:color w:val="auto"/>
              </w:rPr>
            </w:pPr>
            <w:r>
              <w:rPr>
                <w:rFonts w:ascii="Arial" w:cs="Arial" w:eastAsia="Arial" w:hAnsi="Arial"/>
                <w:sz w:val="32"/>
                <w:szCs w:val="32"/>
                <w:b w:val="1"/>
                <w:bCs w:val="1"/>
                <w:color w:val="FFFFFF"/>
              </w:rPr>
              <w:t>​</w:t>
            </w:r>
          </w:p>
        </w:tc>
      </w:tr>
      <w:tr>
        <w:trPr>
          <w:trHeight w:val="401"/>
        </w:trPr>
        <w:tc>
          <w:tcPr>
            <w:tcW w:w="120" w:type="dxa"/>
            <w:vAlign w:val="bottom"/>
          </w:tcPr>
          <w:p>
            <w:pPr>
              <w:spacing w:after="0"/>
              <w:rPr>
                <w:sz w:val="24"/>
                <w:szCs w:val="24"/>
                <w:color w:val="auto"/>
              </w:rPr>
            </w:pPr>
          </w:p>
        </w:tc>
        <w:tc>
          <w:tcPr>
            <w:tcW w:w="9060" w:type="dxa"/>
            <w:vAlign w:val="bottom"/>
            <w:shd w:val="clear" w:color="auto" w:fill="395796"/>
          </w:tcPr>
          <w:p>
            <w:pPr>
              <w:spacing w:after="0"/>
              <w:rPr>
                <w:sz w:val="20"/>
                <w:szCs w:val="20"/>
                <w:color w:val="auto"/>
              </w:rPr>
            </w:pPr>
            <w:r>
              <w:rPr>
                <w:rFonts w:ascii="Arial" w:cs="Arial" w:eastAsia="Arial" w:hAnsi="Arial"/>
                <w:sz w:val="32"/>
                <w:szCs w:val="32"/>
                <w:b w:val="1"/>
                <w:bCs w:val="1"/>
                <w:color w:val="FFFFFF"/>
              </w:rPr>
              <w:t>PROXY STATEMENT SUMMARY</w:t>
            </w:r>
          </w:p>
        </w:tc>
        <w:tc>
          <w:tcPr>
            <w:tcW w:w="80" w:type="dxa"/>
            <w:vAlign w:val="bottom"/>
          </w:tcPr>
          <w:p>
            <w:pPr>
              <w:spacing w:after="0"/>
              <w:rPr>
                <w:sz w:val="24"/>
                <w:szCs w:val="24"/>
                <w:color w:val="auto"/>
              </w:rPr>
            </w:pPr>
          </w:p>
        </w:tc>
      </w:tr>
    </w:tbl>
    <w:p>
      <w:pPr>
        <w:spacing w:after="0" w:line="292" w:lineRule="exact"/>
        <w:rPr>
          <w:sz w:val="20"/>
          <w:szCs w:val="20"/>
          <w:color w:val="auto"/>
        </w:rPr>
      </w:pPr>
    </w:p>
    <w:p>
      <w:pPr>
        <w:jc w:val="both"/>
        <w:ind w:left="700" w:right="60"/>
        <w:spacing w:after="0" w:line="262" w:lineRule="auto"/>
        <w:rPr>
          <w:sz w:val="20"/>
          <w:szCs w:val="20"/>
          <w:color w:val="auto"/>
        </w:rPr>
      </w:pPr>
      <w:r>
        <w:rPr>
          <w:rFonts w:ascii="Arial" w:cs="Arial" w:eastAsia="Arial" w:hAnsi="Arial"/>
          <w:sz w:val="18"/>
          <w:szCs w:val="18"/>
          <w:color w:val="auto"/>
        </w:rPr>
        <w:t>The proxy summary is an overview of information that you will find elsewhere in this proxy statement and our 2025 annual report. As this section is only a summary and does not contain all of the information that you might wish to consider, we encourage you to read the entire proxy statement and 2025 annual report for more information about these topics before you vote.</w:t>
      </w:r>
    </w:p>
    <w:p>
      <w:pPr>
        <w:sectPr>
          <w:pgSz w:w="11900" w:h="16838" w:orient="portrait"/>
          <w:cols w:equalWidth="0" w:num="1">
            <w:col w:w="10060"/>
          </w:cols>
          <w:pgMar w:left="580" w:top="97" w:right="1259" w:bottom="1440" w:gutter="0" w:footer="0" w:header="0"/>
        </w:sectPr>
      </w:pP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ANNUAL MEETING OF STOCKHOLDERS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b w:val="1"/>
                <w:bCs w:val="1"/>
                <w:color w:val="auto"/>
                <w:w w:val="97"/>
              </w:rPr>
              <w:t>Date</w:t>
            </w:r>
            <w:r>
              <w:rPr>
                <w:rFonts w:ascii="Arial" w:cs="Arial" w:eastAsia="Arial" w:hAnsi="Arial"/>
                <w:sz w:val="18"/>
                <w:szCs w:val="18"/>
                <w:color w:val="auto"/>
                <w:w w:val="97"/>
              </w:rPr>
              <w:t>​</w:t>
            </w:r>
          </w:p>
        </w:tc>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and Time:</w:t>
            </w:r>
          </w:p>
        </w:tc>
        <w:tc>
          <w:tcPr>
            <w:tcW w:w="5080" w:type="dxa"/>
            <w:vAlign w:val="bottom"/>
            <w:gridSpan w:val="2"/>
          </w:tcPr>
          <w:p>
            <w:pPr>
              <w:ind w:left="480"/>
              <w:spacing w:after="0"/>
              <w:rPr>
                <w:sz w:val="20"/>
                <w:szCs w:val="20"/>
                <w:color w:val="auto"/>
              </w:rPr>
            </w:pPr>
            <w:r>
              <w:rPr>
                <w:rFonts w:ascii="Arial" w:cs="Arial" w:eastAsia="Arial" w:hAnsi="Arial"/>
                <w:sz w:val="18"/>
                <w:szCs w:val="18"/>
                <w:color w:val="auto"/>
                <w:w w:val="99"/>
              </w:rPr>
              <w:t>​ ​ Wednesday, June 10, 2026, at 11:00 a.m., Eastern Time</w:t>
            </w:r>
          </w:p>
        </w:tc>
        <w:tc>
          <w:tcPr>
            <w:tcW w:w="0" w:type="dxa"/>
            <w:vAlign w:val="bottom"/>
          </w:tcPr>
          <w:p>
            <w:pPr>
              <w:spacing w:after="0"/>
              <w:rPr>
                <w:sz w:val="1"/>
                <w:szCs w:val="1"/>
                <w:color w:val="auto"/>
              </w:rPr>
            </w:pPr>
          </w:p>
        </w:tc>
      </w:tr>
      <w:tr>
        <w:trPr>
          <w:trHeight w:val="181"/>
        </w:trPr>
        <w:tc>
          <w:tcPr>
            <w:tcW w:w="40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1280" w:type="dxa"/>
            <w:vAlign w:val="bottom"/>
          </w:tcPr>
          <w:p>
            <w:pPr>
              <w:spacing w:after="0"/>
              <w:rPr>
                <w:sz w:val="15"/>
                <w:szCs w:val="15"/>
                <w:color w:val="auto"/>
              </w:rPr>
            </w:pPr>
          </w:p>
        </w:tc>
        <w:tc>
          <w:tcPr>
            <w:tcW w:w="680" w:type="dxa"/>
            <w:vAlign w:val="bottom"/>
          </w:tcPr>
          <w:p>
            <w:pPr>
              <w:ind w:left="480"/>
              <w:spacing w:after="0" w:line="181" w:lineRule="exact"/>
              <w:rPr>
                <w:sz w:val="20"/>
                <w:szCs w:val="20"/>
                <w:color w:val="auto"/>
              </w:rPr>
            </w:pPr>
            <w:r>
              <w:rPr>
                <w:rFonts w:ascii="Arial" w:cs="Arial" w:eastAsia="Arial" w:hAnsi="Arial"/>
                <w:sz w:val="18"/>
                <w:szCs w:val="18"/>
                <w:color w:val="auto"/>
              </w:rPr>
              <w:t>​ ​</w:t>
            </w:r>
          </w:p>
        </w:tc>
        <w:tc>
          <w:tcPr>
            <w:tcW w:w="4400" w:type="dxa"/>
            <w:vAlign w:val="bottom"/>
            <w:vMerge w:val="restart"/>
          </w:tcPr>
          <w:p>
            <w:pPr>
              <w:ind w:left="20"/>
              <w:spacing w:after="0"/>
              <w:rPr>
                <w:sz w:val="20"/>
                <w:szCs w:val="20"/>
                <w:color w:val="auto"/>
              </w:rPr>
            </w:pPr>
            <w:r>
              <w:rPr>
                <w:rFonts w:ascii="Arial" w:cs="Arial" w:eastAsia="Arial" w:hAnsi="Arial"/>
                <w:sz w:val="18"/>
                <w:szCs w:val="18"/>
                <w:color w:val="auto"/>
              </w:rPr>
              <w:t>KVH Industries, Inc.</w:t>
            </w:r>
          </w:p>
        </w:tc>
        <w:tc>
          <w:tcPr>
            <w:tcW w:w="0" w:type="dxa"/>
            <w:vAlign w:val="bottom"/>
          </w:tcPr>
          <w:p>
            <w:pPr>
              <w:spacing w:after="0"/>
              <w:rPr>
                <w:sz w:val="1"/>
                <w:szCs w:val="1"/>
                <w:color w:val="auto"/>
              </w:rPr>
            </w:pPr>
          </w:p>
        </w:tc>
      </w:tr>
      <w:tr>
        <w:trPr>
          <w:trHeight w:val="161"/>
        </w:trPr>
        <w:tc>
          <w:tcPr>
            <w:tcW w:w="1680" w:type="dxa"/>
            <w:vAlign w:val="bottom"/>
            <w:gridSpan w:val="2"/>
          </w:tcPr>
          <w:p>
            <w:pPr>
              <w:spacing w:after="0" w:line="161" w:lineRule="exact"/>
              <w:rPr>
                <w:sz w:val="20"/>
                <w:szCs w:val="20"/>
                <w:color w:val="auto"/>
              </w:rPr>
            </w:pPr>
            <w:r>
              <w:rPr>
                <w:rFonts w:ascii="Arial" w:cs="Arial" w:eastAsia="Arial" w:hAnsi="Arial"/>
                <w:sz w:val="18"/>
                <w:szCs w:val="18"/>
                <w:b w:val="1"/>
                <w:bCs w:val="1"/>
                <w:color w:val="auto"/>
              </w:rPr>
              <w:t>Venue:</w:t>
            </w:r>
          </w:p>
        </w:tc>
        <w:tc>
          <w:tcPr>
            <w:tcW w:w="680" w:type="dxa"/>
            <w:vAlign w:val="bottom"/>
          </w:tcPr>
          <w:p>
            <w:pPr>
              <w:spacing w:after="0"/>
              <w:rPr>
                <w:sz w:val="14"/>
                <w:szCs w:val="14"/>
                <w:color w:val="auto"/>
              </w:rPr>
            </w:pPr>
          </w:p>
        </w:tc>
        <w:tc>
          <w:tcPr>
            <w:tcW w:w="4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3080"/>
        <w:spacing w:after="0"/>
        <w:rPr>
          <w:sz w:val="20"/>
          <w:szCs w:val="20"/>
          <w:color w:val="auto"/>
        </w:rPr>
      </w:pPr>
      <w:r>
        <w:rPr>
          <w:rFonts w:ascii="Arial" w:cs="Arial" w:eastAsia="Arial" w:hAnsi="Arial"/>
          <w:sz w:val="18"/>
          <w:szCs w:val="18"/>
          <w:color w:val="auto"/>
        </w:rPr>
        <w:t>500 Wood Street</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Unit 320, 1st Floor</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Bristol, RI 02809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56" w:lineRule="exact"/>
        <w:rPr>
          <w:sz w:val="20"/>
          <w:szCs w:val="20"/>
          <w:color w:val="auto"/>
        </w:rPr>
      </w:pPr>
    </w:p>
    <w:p>
      <w:pPr>
        <w:sectPr>
          <w:pgSz w:w="11900" w:h="16838" w:orient="portrait"/>
          <w:cols w:equalWidth="0" w:num="2">
            <w:col w:w="9280" w:space="720"/>
            <w:col w:w="60"/>
          </w:cols>
          <w:pgMar w:left="580" w:top="97" w:right="1259" w:bottom="1440" w:gutter="0" w:footer="0" w:header="0"/>
          <w:type w:val="continuous"/>
        </w:sectPr>
      </w:pPr>
    </w:p>
    <w:p>
      <w:pPr>
        <w:ind w:left="700"/>
        <w:spacing w:after="0" w:line="187" w:lineRule="auto"/>
        <w:rPr>
          <w:sz w:val="20"/>
          <w:szCs w:val="20"/>
          <w:color w:val="auto"/>
        </w:rPr>
      </w:pPr>
      <w:r>
        <w:rPr>
          <w:rFonts w:ascii="Arial" w:cs="Arial" w:eastAsia="Arial" w:hAnsi="Arial"/>
          <w:sz w:val="16"/>
          <w:szCs w:val="16"/>
          <w:color w:val="auto"/>
        </w:rPr>
        <w:t>​</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Record Date:</w:t>
      </w:r>
    </w:p>
    <w:p>
      <w:pPr>
        <w:ind w:left="700"/>
        <w:spacing w:after="0" w:line="187" w:lineRule="auto"/>
        <w:rPr>
          <w:sz w:val="20"/>
          <w:szCs w:val="20"/>
          <w:color w:val="auto"/>
        </w:rPr>
      </w:pPr>
      <w:r>
        <w:rPr>
          <w:rFonts w:ascii="Arial" w:cs="Arial" w:eastAsia="Arial" w:hAnsi="Arial"/>
          <w:sz w:val="13"/>
          <w:szCs w:val="13"/>
          <w:color w:val="auto"/>
        </w:rPr>
        <w:t>​</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Voting:</w:t>
      </w:r>
    </w:p>
    <w:p>
      <w:pPr>
        <w:spacing w:after="0" w:line="369"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VOTING MATTERS</w:t>
      </w:r>
    </w:p>
    <w:p>
      <w:pPr>
        <w:spacing w:after="0" w:line="20" w:lineRule="exact"/>
        <w:rPr>
          <w:sz w:val="20"/>
          <w:szCs w:val="20"/>
          <w:color w:val="auto"/>
        </w:rPr>
      </w:pPr>
      <w:r>
        <w:rPr>
          <w:sz w:val="20"/>
          <w:szCs w:val="20"/>
          <w:color w:val="auto"/>
        </w:rPr>
        <w:br w:type="column"/>
      </w:r>
    </w:p>
    <w:p>
      <w:pPr>
        <w:spacing w:after="0" w:line="208" w:lineRule="auto"/>
        <w:tabs>
          <w:tab w:leader="none" w:pos="7120" w:val="left"/>
        </w:tabs>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The close of business on April 15, 2026</w:t>
      </w:r>
      <w:r>
        <w:rPr>
          <w:sz w:val="20"/>
          <w:szCs w:val="20"/>
          <w:color w:val="auto"/>
        </w:rPr>
        <w:tab/>
      </w:r>
      <w:r>
        <w:rPr>
          <w:rFonts w:ascii="Arial" w:cs="Arial" w:eastAsia="Arial" w:hAnsi="Arial"/>
          <w:sz w:val="36"/>
          <w:szCs w:val="36"/>
          <w:color w:val="auto"/>
          <w:vertAlign w:val="superscript"/>
        </w:rPr>
        <w:t>​</w:t>
      </w:r>
    </w:p>
    <w:p>
      <w:pPr>
        <w:spacing w:after="0" w:line="1" w:lineRule="exact"/>
        <w:rPr>
          <w:sz w:val="20"/>
          <w:szCs w:val="20"/>
          <w:color w:val="auto"/>
        </w:rPr>
      </w:pPr>
    </w:p>
    <w:p>
      <w:pPr>
        <w:ind w:left="220" w:hanging="215"/>
        <w:spacing w:after="0" w:line="214" w:lineRule="auto"/>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Each share of common stock outstanding on the record date will be entitled to cast one</w:t>
      </w:r>
      <w:r>
        <w:rPr>
          <w:rFonts w:ascii="Arial" w:cs="Arial" w:eastAsia="Arial" w:hAnsi="Arial"/>
          <w:sz w:val="35"/>
          <w:szCs w:val="35"/>
          <w:color w:val="auto"/>
          <w:vertAlign w:val="superscript"/>
        </w:rPr>
        <w:t>​</w:t>
      </w:r>
      <w:r>
        <w:rPr>
          <w:rFonts w:ascii="Arial" w:cs="Arial" w:eastAsia="Arial" w:hAnsi="Arial"/>
          <w:sz w:val="18"/>
          <w:szCs w:val="18"/>
          <w:color w:val="auto"/>
        </w:rPr>
        <w:t xml:space="preserve"> vote</w:t>
      </w:r>
    </w:p>
    <w:p>
      <w:pPr>
        <w:spacing w:after="0" w:line="524" w:lineRule="exact"/>
        <w:rPr>
          <w:sz w:val="20"/>
          <w:szCs w:val="20"/>
          <w:color w:val="auto"/>
        </w:rPr>
      </w:pPr>
    </w:p>
    <w:p>
      <w:pPr>
        <w:sectPr>
          <w:pgSz w:w="11900" w:h="16838" w:orient="portrait"/>
          <w:cols w:equalWidth="0" w:num="2">
            <w:col w:w="2280" w:space="580"/>
            <w:col w:w="7200"/>
          </w:cols>
          <w:pgMar w:left="580" w:top="97" w:right="1259" w:bottom="1440" w:gutter="0" w:footer="0" w:header="0"/>
          <w:type w:val="continuous"/>
        </w:sectPr>
      </w:pPr>
    </w:p>
    <w:tbl>
      <w:tblPr>
        <w:tblLayout w:type="fixed"/>
        <w:tblInd w:w="700" w:type="dxa"/>
        <w:tblCellMar>
          <w:top w:w="0" w:type="dxa"/>
          <w:left w:w="0" w:type="dxa"/>
          <w:bottom w:w="0" w:type="dxa"/>
          <w:right w:w="0" w:type="dxa"/>
        </w:tblCellMar>
      </w:tblPr>
      <w:tr>
        <w:trPr>
          <w:trHeight w:val="175"/>
        </w:trPr>
        <w:tc>
          <w:tcPr>
            <w:tcW w:w="5940" w:type="dxa"/>
            <w:vAlign w:val="bottom"/>
            <w:shd w:val="clear" w:color="auto" w:fill="395796"/>
          </w:tcPr>
          <w:p>
            <w:pPr>
              <w:ind w:left="60"/>
              <w:spacing w:after="0"/>
              <w:rPr>
                <w:sz w:val="20"/>
                <w:szCs w:val="20"/>
                <w:color w:val="auto"/>
              </w:rPr>
            </w:pPr>
            <w:r>
              <w:rPr>
                <w:rFonts w:ascii="Arial" w:cs="Arial" w:eastAsia="Arial" w:hAnsi="Arial"/>
                <w:sz w:val="14"/>
                <w:szCs w:val="14"/>
                <w:b w:val="1"/>
                <w:bCs w:val="1"/>
                <w:color w:val="FFFFFF"/>
              </w:rPr>
              <w:t>Management Proposals</w:t>
            </w:r>
          </w:p>
        </w:tc>
        <w:tc>
          <w:tcPr>
            <w:tcW w:w="760" w:type="dxa"/>
            <w:vAlign w:val="bottom"/>
            <w:vMerge w:val="restart"/>
            <w:shd w:val="clear" w:color="auto" w:fill="395796"/>
          </w:tcPr>
          <w:p>
            <w:pPr>
              <w:ind w:left="480"/>
              <w:spacing w:after="0"/>
              <w:rPr>
                <w:sz w:val="20"/>
                <w:szCs w:val="20"/>
                <w:color w:val="auto"/>
              </w:rPr>
            </w:pPr>
            <w:r>
              <w:rPr>
                <w:rFonts w:ascii="Arial" w:cs="Arial" w:eastAsia="Arial" w:hAnsi="Arial"/>
                <w:sz w:val="14"/>
                <w:szCs w:val="14"/>
                <w:b w:val="1"/>
                <w:bCs w:val="1"/>
                <w:color w:val="FFFFFF"/>
              </w:rPr>
              <w:t>​ ​</w:t>
            </w:r>
          </w:p>
        </w:tc>
        <w:tc>
          <w:tcPr>
            <w:tcW w:w="206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Board Vote Recommendation</w:t>
            </w:r>
          </w:p>
        </w:tc>
        <w:tc>
          <w:tcPr>
            <w:tcW w:w="540" w:type="dxa"/>
            <w:vAlign w:val="bottom"/>
            <w:tcBorders>
              <w:right w:val="single" w:sz="8" w:color="395796"/>
            </w:tcBorders>
            <w:gridSpan w:val="4"/>
            <w:shd w:val="clear" w:color="auto" w:fill="395796"/>
          </w:tcPr>
          <w:p>
            <w:pPr>
              <w:ind w:left="160"/>
              <w:spacing w:after="0"/>
              <w:rPr>
                <w:sz w:val="20"/>
                <w:szCs w:val="20"/>
                <w:color w:val="auto"/>
              </w:rPr>
            </w:pPr>
            <w:r>
              <w:rPr>
                <w:rFonts w:ascii="Arial" w:cs="Arial" w:eastAsia="Arial" w:hAnsi="Arial"/>
                <w:sz w:val="14"/>
                <w:szCs w:val="14"/>
                <w:b w:val="1"/>
                <w:bCs w:val="1"/>
                <w:color w:val="FFFFFF"/>
              </w:rPr>
              <w:t>Page</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48"/>
        </w:trPr>
        <w:tc>
          <w:tcPr>
            <w:tcW w:w="5940" w:type="dxa"/>
            <w:vAlign w:val="bottom"/>
            <w:tcBorders>
              <w:bottom w:val="single" w:sz="8" w:color="395796"/>
            </w:tcBorders>
            <w:shd w:val="clear" w:color="auto" w:fill="395796"/>
          </w:tcPr>
          <w:p>
            <w:pPr>
              <w:ind w:left="60"/>
              <w:spacing w:after="0" w:line="41" w:lineRule="exact"/>
              <w:rPr>
                <w:sz w:val="20"/>
                <w:szCs w:val="20"/>
                <w:color w:val="auto"/>
              </w:rPr>
            </w:pPr>
            <w:r>
              <w:rPr>
                <w:rFonts w:ascii="Arial" w:cs="Arial" w:eastAsia="Arial" w:hAnsi="Arial"/>
                <w:sz w:val="4"/>
                <w:szCs w:val="4"/>
                <w:b w:val="1"/>
                <w:bCs w:val="1"/>
                <w:color w:val="FFFFFF"/>
              </w:rPr>
              <w:t>​</w:t>
            </w:r>
          </w:p>
        </w:tc>
        <w:tc>
          <w:tcPr>
            <w:tcW w:w="760" w:type="dxa"/>
            <w:vAlign w:val="bottom"/>
            <w:tcBorders>
              <w:bottom w:val="single" w:sz="8" w:color="395796"/>
            </w:tcBorders>
            <w:vMerge w:val="continue"/>
            <w:shd w:val="clear" w:color="auto" w:fill="395796"/>
          </w:tcPr>
          <w:p>
            <w:pPr>
              <w:spacing w:after="0"/>
              <w:rPr>
                <w:sz w:val="4"/>
                <w:szCs w:val="4"/>
                <w:color w:val="auto"/>
              </w:rPr>
            </w:pPr>
          </w:p>
        </w:tc>
        <w:tc>
          <w:tcPr>
            <w:tcW w:w="2060" w:type="dxa"/>
            <w:vAlign w:val="bottom"/>
            <w:tcBorders>
              <w:bottom w:val="single" w:sz="8" w:color="395796"/>
            </w:tcBorders>
            <w:shd w:val="clear" w:color="auto" w:fill="395796"/>
          </w:tcPr>
          <w:p>
            <w:pPr>
              <w:spacing w:after="0"/>
              <w:rPr>
                <w:sz w:val="4"/>
                <w:szCs w:val="4"/>
                <w:color w:val="auto"/>
              </w:rPr>
            </w:pPr>
          </w:p>
        </w:tc>
        <w:tc>
          <w:tcPr>
            <w:tcW w:w="240" w:type="dxa"/>
            <w:vAlign w:val="bottom"/>
            <w:tcBorders>
              <w:bottom w:val="single" w:sz="8" w:color="395796"/>
            </w:tcBorders>
            <w:shd w:val="clear" w:color="auto" w:fill="395796"/>
          </w:tcPr>
          <w:p>
            <w:pPr>
              <w:ind w:left="60"/>
              <w:spacing w:after="0" w:line="41" w:lineRule="exact"/>
              <w:rPr>
                <w:sz w:val="20"/>
                <w:szCs w:val="20"/>
                <w:color w:val="auto"/>
              </w:rPr>
            </w:pPr>
            <w:r>
              <w:rPr>
                <w:rFonts w:ascii="Arial" w:cs="Arial" w:eastAsia="Arial" w:hAnsi="Arial"/>
                <w:sz w:val="4"/>
                <w:szCs w:val="4"/>
                <w:b w:val="1"/>
                <w:bCs w:val="1"/>
                <w:color w:val="FFFFFF"/>
              </w:rPr>
              <w:t>​ ​</w:t>
            </w:r>
          </w:p>
        </w:tc>
        <w:tc>
          <w:tcPr>
            <w:tcW w:w="60" w:type="dxa"/>
            <w:vAlign w:val="bottom"/>
            <w:tcBorders>
              <w:bottom w:val="single" w:sz="8" w:color="395796"/>
            </w:tcBorders>
            <w:shd w:val="clear" w:color="auto" w:fill="395796"/>
          </w:tcPr>
          <w:p>
            <w:pPr>
              <w:spacing w:after="0"/>
              <w:rPr>
                <w:sz w:val="4"/>
                <w:szCs w:val="4"/>
                <w:color w:val="auto"/>
              </w:rPr>
            </w:pPr>
          </w:p>
        </w:tc>
        <w:tc>
          <w:tcPr>
            <w:tcW w:w="80" w:type="dxa"/>
            <w:vAlign w:val="bottom"/>
            <w:tcBorders>
              <w:bottom w:val="single" w:sz="8" w:color="395796"/>
            </w:tcBorders>
            <w:shd w:val="clear" w:color="auto" w:fill="395796"/>
          </w:tcPr>
          <w:p>
            <w:pPr>
              <w:spacing w:after="0"/>
              <w:rPr>
                <w:sz w:val="4"/>
                <w:szCs w:val="4"/>
                <w:color w:val="auto"/>
              </w:rPr>
            </w:pPr>
          </w:p>
        </w:tc>
        <w:tc>
          <w:tcPr>
            <w:tcW w:w="160" w:type="dxa"/>
            <w:vAlign w:val="bottom"/>
            <w:tcBorders>
              <w:bottom w:val="single" w:sz="8" w:color="395796"/>
              <w:right w:val="single" w:sz="8" w:color="395796"/>
            </w:tcBorders>
            <w:shd w:val="clear" w:color="auto" w:fill="395796"/>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5940" w:type="dxa"/>
            <w:vAlign w:val="bottom"/>
          </w:tcPr>
          <w:p>
            <w:pPr>
              <w:ind w:left="60"/>
              <w:spacing w:after="0" w:line="149" w:lineRule="exact"/>
              <w:rPr>
                <w:sz w:val="20"/>
                <w:szCs w:val="20"/>
                <w:color w:val="auto"/>
              </w:rPr>
            </w:pPr>
            <w:r>
              <w:rPr>
                <w:rFonts w:ascii="Arial" w:cs="Arial" w:eastAsia="Arial" w:hAnsi="Arial"/>
                <w:sz w:val="17"/>
                <w:szCs w:val="17"/>
                <w:color w:val="auto"/>
              </w:rPr>
              <w:t>​</w:t>
            </w:r>
          </w:p>
        </w:tc>
        <w:tc>
          <w:tcPr>
            <w:tcW w:w="760" w:type="dxa"/>
            <w:vAlign w:val="bottom"/>
          </w:tcPr>
          <w:p>
            <w:pPr>
              <w:ind w:left="480"/>
              <w:spacing w:after="0" w:line="149" w:lineRule="exact"/>
              <w:rPr>
                <w:sz w:val="20"/>
                <w:szCs w:val="20"/>
                <w:color w:val="auto"/>
              </w:rPr>
            </w:pPr>
            <w:r>
              <w:rPr>
                <w:rFonts w:ascii="Arial" w:cs="Arial" w:eastAsia="Arial" w:hAnsi="Arial"/>
                <w:sz w:val="17"/>
                <w:szCs w:val="17"/>
                <w:color w:val="auto"/>
              </w:rPr>
              <w:t>​ ​</w:t>
            </w:r>
          </w:p>
        </w:tc>
        <w:tc>
          <w:tcPr>
            <w:tcW w:w="2060" w:type="dxa"/>
            <w:vAlign w:val="bottom"/>
          </w:tcPr>
          <w:p>
            <w:pPr>
              <w:spacing w:after="0"/>
              <w:rPr>
                <w:sz w:val="12"/>
                <w:szCs w:val="12"/>
                <w:color w:val="auto"/>
              </w:rPr>
            </w:pPr>
          </w:p>
        </w:tc>
        <w:tc>
          <w:tcPr>
            <w:tcW w:w="24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3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0000EE"/>
              </w:rPr>
              <w:t>7</w:t>
            </w:r>
          </w:p>
        </w:tc>
        <w:tc>
          <w:tcPr>
            <w:tcW w:w="6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8"/>
        </w:trPr>
        <w:tc>
          <w:tcPr>
            <w:tcW w:w="5940" w:type="dxa"/>
            <w:vAlign w:val="bottom"/>
          </w:tcPr>
          <w:p>
            <w:pPr>
              <w:ind w:left="60"/>
              <w:spacing w:after="0" w:line="68" w:lineRule="exact"/>
              <w:rPr>
                <w:sz w:val="20"/>
                <w:szCs w:val="20"/>
                <w:color w:val="auto"/>
              </w:rPr>
            </w:pPr>
            <w:r>
              <w:rPr>
                <w:rFonts w:ascii="Arial" w:cs="Arial" w:eastAsia="Arial" w:hAnsi="Arial"/>
                <w:sz w:val="7"/>
                <w:szCs w:val="7"/>
                <w:color w:val="auto"/>
              </w:rPr>
              <w:t>1. Election of Directors</w:t>
            </w:r>
          </w:p>
        </w:tc>
        <w:tc>
          <w:tcPr>
            <w:tcW w:w="2820" w:type="dxa"/>
            <w:vAlign w:val="bottom"/>
            <w:gridSpan w:val="2"/>
          </w:tcPr>
          <w:p>
            <w:pPr>
              <w:jc w:val="right"/>
              <w:spacing w:after="0" w:line="68" w:lineRule="exact"/>
              <w:rPr>
                <w:sz w:val="20"/>
                <w:szCs w:val="20"/>
                <w:color w:val="auto"/>
              </w:rPr>
            </w:pPr>
            <w:r>
              <w:rPr>
                <w:rFonts w:ascii="Arial" w:cs="Arial" w:eastAsia="Arial" w:hAnsi="Arial"/>
                <w:sz w:val="7"/>
                <w:szCs w:val="7"/>
                <w:color w:val="auto"/>
              </w:rPr>
              <w:t>FOR the Board’s Nominees</w:t>
            </w:r>
          </w:p>
        </w:tc>
        <w:tc>
          <w:tcPr>
            <w:tcW w:w="240" w:type="dxa"/>
            <w:vAlign w:val="bottom"/>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D8D8D8"/>
          </w:tcPr>
          <w:p>
            <w:pPr>
              <w:ind w:left="60"/>
              <w:spacing w:after="0" w:line="202" w:lineRule="exact"/>
              <w:rPr>
                <w:sz w:val="20"/>
                <w:szCs w:val="20"/>
                <w:color w:val="auto"/>
              </w:rPr>
            </w:pPr>
            <w:r>
              <w:rPr>
                <w:rFonts w:ascii="Arial" w:cs="Arial" w:eastAsia="Arial" w:hAnsi="Arial"/>
                <w:sz w:val="18"/>
                <w:szCs w:val="18"/>
                <w:color w:val="auto"/>
              </w:rPr>
              <w:t>2. Non-Binding Say on Pay Vote</w:t>
            </w:r>
          </w:p>
        </w:tc>
        <w:tc>
          <w:tcPr>
            <w:tcW w:w="760" w:type="dxa"/>
            <w:vAlign w:val="bottom"/>
            <w:shd w:val="clear" w:color="auto" w:fill="D8D8D8"/>
          </w:tcPr>
          <w:p>
            <w:pPr>
              <w:spacing w:after="0"/>
              <w:rPr>
                <w:sz w:val="17"/>
                <w:szCs w:val="17"/>
                <w:color w:val="auto"/>
              </w:rPr>
            </w:pPr>
          </w:p>
        </w:tc>
        <w:tc>
          <w:tcPr>
            <w:tcW w:w="206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FOR</w:t>
            </w:r>
          </w:p>
        </w:tc>
        <w:tc>
          <w:tcPr>
            <w:tcW w:w="240" w:type="dxa"/>
            <w:vAlign w:val="bottom"/>
            <w:shd w:val="clear" w:color="auto" w:fill="D8D8D8"/>
          </w:tcPr>
          <w:p>
            <w:pPr>
              <w:spacing w:after="0"/>
              <w:rPr>
                <w:sz w:val="17"/>
                <w:szCs w:val="17"/>
                <w:color w:val="auto"/>
              </w:rPr>
            </w:pPr>
          </w:p>
        </w:tc>
        <w:tc>
          <w:tcPr>
            <w:tcW w:w="300" w:type="dxa"/>
            <w:vAlign w:val="bottom"/>
            <w:tcBorders>
              <w:right w:val="single" w:sz="8" w:color="D8D8D8"/>
            </w:tcBorders>
            <w:gridSpan w:val="3"/>
            <w:shd w:val="clear" w:color="auto" w:fill="D8D8D8"/>
          </w:tcPr>
          <w:p>
            <w:pPr>
              <w:jc w:val="right"/>
              <w:ind w:right="60"/>
              <w:spacing w:after="0" w:line="202" w:lineRule="exact"/>
              <w:rPr>
                <w:sz w:val="20"/>
                <w:szCs w:val="20"/>
                <w:color w:val="auto"/>
              </w:rPr>
            </w:pPr>
            <w:r>
              <w:rPr>
                <w:rFonts w:ascii="Arial" w:cs="Arial" w:eastAsia="Arial" w:hAnsi="Arial"/>
                <w:sz w:val="18"/>
                <w:szCs w:val="18"/>
                <w:color w:val="0000EE"/>
              </w:rPr>
              <w:t>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5940" w:type="dxa"/>
            <w:vAlign w:val="bottom"/>
            <w:tcBorders>
              <w:bottom w:val="single" w:sz="8" w:color="D8D8D8"/>
            </w:tcBorders>
            <w:shd w:val="clear" w:color="auto" w:fill="D8D8D8"/>
          </w:tcPr>
          <w:p>
            <w:pPr>
              <w:ind w:left="60"/>
              <w:spacing w:after="0" w:line="7" w:lineRule="exact"/>
              <w:rPr>
                <w:sz w:val="20"/>
                <w:szCs w:val="20"/>
                <w:color w:val="auto"/>
              </w:rPr>
            </w:pPr>
            <w:r>
              <w:rPr>
                <w:rFonts w:ascii="Arial" w:cs="Arial" w:eastAsia="Arial" w:hAnsi="Arial"/>
                <w:sz w:val="1"/>
                <w:szCs w:val="1"/>
                <w:color w:val="auto"/>
              </w:rPr>
              <w:t>​</w:t>
            </w:r>
          </w:p>
        </w:tc>
        <w:tc>
          <w:tcPr>
            <w:tcW w:w="760" w:type="dxa"/>
            <w:vAlign w:val="bottom"/>
            <w:tcBorders>
              <w:bottom w:val="single" w:sz="8" w:color="D8D8D8"/>
            </w:tcBorders>
            <w:shd w:val="clear" w:color="auto" w:fill="D8D8D8"/>
          </w:tcPr>
          <w:p>
            <w:pPr>
              <w:ind w:left="480"/>
              <w:spacing w:after="0" w:line="7" w:lineRule="exact"/>
              <w:rPr>
                <w:sz w:val="20"/>
                <w:szCs w:val="20"/>
                <w:color w:val="auto"/>
              </w:rPr>
            </w:pPr>
            <w:r>
              <w:rPr>
                <w:rFonts w:ascii="Arial" w:cs="Arial" w:eastAsia="Arial" w:hAnsi="Arial"/>
                <w:sz w:val="1"/>
                <w:szCs w:val="1"/>
                <w:color w:val="auto"/>
              </w:rPr>
              <w:t>​ ​</w:t>
            </w:r>
          </w:p>
        </w:tc>
        <w:tc>
          <w:tcPr>
            <w:tcW w:w="2060" w:type="dxa"/>
            <w:vAlign w:val="bottom"/>
            <w:tcBorders>
              <w:bottom w:val="single" w:sz="8" w:color="D8D8D8"/>
            </w:tcBorders>
            <w:shd w:val="clear" w:color="auto" w:fill="D8D8D8"/>
          </w:tcPr>
          <w:p>
            <w:pPr>
              <w:spacing w:after="0"/>
              <w:rPr>
                <w:sz w:val="2"/>
                <w:szCs w:val="2"/>
                <w:color w:val="auto"/>
              </w:rPr>
            </w:pPr>
          </w:p>
        </w:tc>
        <w:tc>
          <w:tcPr>
            <w:tcW w:w="240" w:type="dxa"/>
            <w:vAlign w:val="bottom"/>
            <w:tcBorders>
              <w:bottom w:val="single" w:sz="8" w:color="D8D8D8"/>
            </w:tcBorders>
            <w:shd w:val="clear" w:color="auto" w:fill="D8D8D8"/>
          </w:tcPr>
          <w:p>
            <w:pPr>
              <w:ind w:left="60"/>
              <w:spacing w:after="0" w:line="7" w:lineRule="exact"/>
              <w:rPr>
                <w:sz w:val="20"/>
                <w:szCs w:val="20"/>
                <w:color w:val="auto"/>
              </w:rPr>
            </w:pPr>
            <w:r>
              <w:rPr>
                <w:rFonts w:ascii="Arial" w:cs="Arial" w:eastAsia="Arial" w:hAnsi="Arial"/>
                <w:sz w:val="1"/>
                <w:szCs w:val="1"/>
                <w:color w:val="auto"/>
              </w:rPr>
              <w:t>​ ​</w:t>
            </w:r>
          </w:p>
        </w:tc>
        <w:tc>
          <w:tcPr>
            <w:tcW w:w="60" w:type="dxa"/>
            <w:vAlign w:val="bottom"/>
            <w:tcBorders>
              <w:bottom w:val="single" w:sz="8" w:color="D8D8D8"/>
            </w:tcBorders>
            <w:shd w:val="clear" w:color="auto" w:fill="D8D8D8"/>
          </w:tcPr>
          <w:p>
            <w:pPr>
              <w:spacing w:after="0"/>
              <w:rPr>
                <w:sz w:val="2"/>
                <w:szCs w:val="2"/>
                <w:color w:val="auto"/>
              </w:rPr>
            </w:pPr>
          </w:p>
        </w:tc>
        <w:tc>
          <w:tcPr>
            <w:tcW w:w="80" w:type="dxa"/>
            <w:vAlign w:val="bottom"/>
            <w:tcBorders>
              <w:bottom w:val="single" w:sz="8" w:color="D8D8D8"/>
            </w:tcBorders>
            <w:shd w:val="clear" w:color="auto" w:fill="D8D8D8"/>
          </w:tcPr>
          <w:p>
            <w:pPr>
              <w:spacing w:after="0"/>
              <w:rPr>
                <w:sz w:val="2"/>
                <w:szCs w:val="2"/>
                <w:color w:val="auto"/>
              </w:rPr>
            </w:pPr>
          </w:p>
        </w:tc>
        <w:tc>
          <w:tcPr>
            <w:tcW w:w="160" w:type="dxa"/>
            <w:vAlign w:val="bottom"/>
            <w:tcBorders>
              <w:bottom w:val="single" w:sz="8" w:color="D8D8D8"/>
              <w:right w:val="single" w:sz="8" w:color="D8D8D8"/>
            </w:tcBorders>
            <w:shd w:val="clear" w:color="auto" w:fill="0000EE"/>
          </w:tcPr>
          <w:p>
            <w:pPr>
              <w:spacing w:after="0"/>
              <w:rPr>
                <w:sz w:val="2"/>
                <w:szCs w:val="2"/>
                <w:color w:val="auto"/>
              </w:rPr>
            </w:pPr>
          </w:p>
        </w:tc>
        <w:tc>
          <w:tcPr>
            <w:tcW w:w="60" w:type="dxa"/>
            <w:vAlign w:val="bottom"/>
          </w:tcPr>
          <w:p>
            <w:pPr>
              <w:spacing w:after="0" w:line="7" w:lineRule="exact"/>
              <w:rPr>
                <w:sz w:val="20"/>
                <w:szCs w:val="20"/>
                <w:color w:val="auto"/>
              </w:rPr>
            </w:pP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149"/>
        </w:trPr>
        <w:tc>
          <w:tcPr>
            <w:tcW w:w="5940" w:type="dxa"/>
            <w:vAlign w:val="bottom"/>
          </w:tcPr>
          <w:p>
            <w:pPr>
              <w:ind w:left="60"/>
              <w:spacing w:after="0" w:line="149" w:lineRule="exact"/>
              <w:rPr>
                <w:sz w:val="20"/>
                <w:szCs w:val="20"/>
                <w:color w:val="auto"/>
              </w:rPr>
            </w:pPr>
            <w:r>
              <w:rPr>
                <w:rFonts w:ascii="Arial" w:cs="Arial" w:eastAsia="Arial" w:hAnsi="Arial"/>
                <w:sz w:val="17"/>
                <w:szCs w:val="17"/>
                <w:color w:val="auto"/>
              </w:rPr>
              <w:t>​</w:t>
            </w:r>
          </w:p>
        </w:tc>
        <w:tc>
          <w:tcPr>
            <w:tcW w:w="760" w:type="dxa"/>
            <w:vAlign w:val="bottom"/>
          </w:tcPr>
          <w:p>
            <w:pPr>
              <w:ind w:left="480"/>
              <w:spacing w:after="0" w:line="149" w:lineRule="exact"/>
              <w:rPr>
                <w:sz w:val="20"/>
                <w:szCs w:val="20"/>
                <w:color w:val="auto"/>
              </w:rPr>
            </w:pPr>
            <w:r>
              <w:rPr>
                <w:rFonts w:ascii="Arial" w:cs="Arial" w:eastAsia="Arial" w:hAnsi="Arial"/>
                <w:sz w:val="17"/>
                <w:szCs w:val="17"/>
                <w:color w:val="auto"/>
              </w:rPr>
              <w:t>​ ​</w:t>
            </w: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FOR</w:t>
            </w:r>
          </w:p>
        </w:tc>
        <w:tc>
          <w:tcPr>
            <w:tcW w:w="24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3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0000EE"/>
              </w:rPr>
              <w:t>12</w:t>
            </w:r>
          </w:p>
        </w:tc>
        <w:tc>
          <w:tcPr>
            <w:tcW w:w="6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8"/>
        </w:trPr>
        <w:tc>
          <w:tcPr>
            <w:tcW w:w="5940" w:type="dxa"/>
            <w:vAlign w:val="bottom"/>
          </w:tcPr>
          <w:p>
            <w:pPr>
              <w:ind w:left="60"/>
              <w:spacing w:after="0" w:line="68" w:lineRule="exact"/>
              <w:rPr>
                <w:sz w:val="20"/>
                <w:szCs w:val="20"/>
                <w:color w:val="auto"/>
              </w:rPr>
            </w:pPr>
            <w:r>
              <w:rPr>
                <w:rFonts w:ascii="Arial" w:cs="Arial" w:eastAsia="Arial" w:hAnsi="Arial"/>
                <w:sz w:val="7"/>
                <w:szCs w:val="7"/>
                <w:color w:val="auto"/>
              </w:rPr>
              <w:t>3. Ratification of Appointment of Independent Public Accounting Firm</w:t>
            </w:r>
          </w:p>
        </w:tc>
        <w:tc>
          <w:tcPr>
            <w:tcW w:w="760" w:type="dxa"/>
            <w:vAlign w:val="bottom"/>
          </w:tcPr>
          <w:p>
            <w:pPr>
              <w:spacing w:after="0"/>
              <w:rPr>
                <w:sz w:val="5"/>
                <w:szCs w:val="5"/>
                <w:color w:val="auto"/>
              </w:rPr>
            </w:pPr>
          </w:p>
        </w:tc>
        <w:tc>
          <w:tcPr>
            <w:tcW w:w="20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59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60" w:type="dxa"/>
            <w:vAlign w:val="bottom"/>
            <w:tcBorders>
              <w:top w:val="single" w:sz="8" w:color="0000EE"/>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ELECTION OF DIRECTORS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provides summary information about our nominees for election to the board as Class III Directors.</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Additional information for all directors, including the nominees, may be found on pages </w:t>
      </w:r>
      <w:r>
        <w:rPr>
          <w:rFonts w:ascii="Arial" w:cs="Arial" w:eastAsia="Arial" w:hAnsi="Arial"/>
          <w:sz w:val="18"/>
          <w:szCs w:val="18"/>
          <w:u w:val="single" w:color="auto"/>
          <w:color w:val="0000EE"/>
        </w:rPr>
        <w:t>7</w:t>
      </w:r>
      <w:r>
        <w:rPr>
          <w:rFonts w:ascii="Arial" w:cs="Arial" w:eastAsia="Arial" w:hAnsi="Arial"/>
          <w:sz w:val="18"/>
          <w:szCs w:val="18"/>
          <w:color w:val="auto"/>
        </w:rPr>
        <w:t xml:space="preserve"> - </w:t>
      </w:r>
      <w:r>
        <w:rPr>
          <w:rFonts w:ascii="Arial" w:cs="Arial" w:eastAsia="Arial" w:hAnsi="Arial"/>
          <w:sz w:val="18"/>
          <w:szCs w:val="18"/>
          <w:u w:val="single" w:color="auto"/>
          <w:color w:val="0000EE"/>
        </w:rPr>
        <w:t>8</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13</w:t>
      </w:r>
      <w:r>
        <w:rPr>
          <w:rFonts w:ascii="Arial" w:cs="Arial" w:eastAsia="Arial" w:hAnsi="Arial"/>
          <w:sz w:val="18"/>
          <w:szCs w:val="18"/>
          <w:color w:val="auto"/>
        </w:rPr>
        <w:t xml:space="preserve"> - </w:t>
      </w:r>
      <w:r>
        <w:rPr>
          <w:rFonts w:ascii="Arial" w:cs="Arial" w:eastAsia="Arial" w:hAnsi="Arial"/>
          <w:sz w:val="18"/>
          <w:szCs w:val="18"/>
          <w:u w:val="single" w:color="auto"/>
          <w:color w:val="0000EE"/>
        </w:rPr>
        <w:t>15.</w:t>
      </w:r>
    </w:p>
    <w:p>
      <w:pPr>
        <w:spacing w:after="0" w:line="158" w:lineRule="exact"/>
        <w:rPr>
          <w:sz w:val="20"/>
          <w:szCs w:val="20"/>
          <w:color w:val="auto"/>
        </w:rPr>
      </w:pPr>
    </w:p>
    <w:tbl>
      <w:tblPr>
        <w:tblLayout w:type="fixed"/>
        <w:tblInd w:w="700" w:type="dxa"/>
        <w:tblCellMar>
          <w:top w:w="0" w:type="dxa"/>
          <w:left w:w="0" w:type="dxa"/>
          <w:bottom w:w="0" w:type="dxa"/>
          <w:right w:w="0" w:type="dxa"/>
        </w:tblCellMar>
      </w:tblPr>
      <w:tr>
        <w:trPr>
          <w:trHeight w:val="176"/>
        </w:trPr>
        <w:tc>
          <w:tcPr>
            <w:tcW w:w="1680" w:type="dxa"/>
            <w:vAlign w:val="bottom"/>
            <w:shd w:val="clear" w:color="auto" w:fill="395796"/>
          </w:tcPr>
          <w:p>
            <w:pPr>
              <w:ind w:left="60"/>
              <w:spacing w:after="0"/>
              <w:rPr>
                <w:sz w:val="20"/>
                <w:szCs w:val="20"/>
                <w:color w:val="auto"/>
              </w:rPr>
            </w:pPr>
            <w:r>
              <w:rPr>
                <w:rFonts w:ascii="Arial" w:cs="Arial" w:eastAsia="Arial" w:hAnsi="Arial"/>
                <w:sz w:val="14"/>
                <w:szCs w:val="14"/>
                <w:b w:val="1"/>
                <w:bCs w:val="1"/>
                <w:color w:val="FFFFFF"/>
              </w:rPr>
              <w:t>Name</w:t>
            </w:r>
          </w:p>
        </w:tc>
        <w:tc>
          <w:tcPr>
            <w:tcW w:w="880" w:type="dxa"/>
            <w:vAlign w:val="bottom"/>
            <w:vMerge w:val="restart"/>
            <w:shd w:val="clear" w:color="auto" w:fill="395796"/>
          </w:tcPr>
          <w:p>
            <w:pPr>
              <w:ind w:left="80"/>
              <w:spacing w:after="0"/>
              <w:rPr>
                <w:sz w:val="20"/>
                <w:szCs w:val="20"/>
                <w:color w:val="auto"/>
              </w:rPr>
            </w:pPr>
            <w:r>
              <w:rPr>
                <w:rFonts w:ascii="Arial" w:cs="Arial" w:eastAsia="Arial" w:hAnsi="Arial"/>
                <w:sz w:val="14"/>
                <w:szCs w:val="14"/>
                <w:b w:val="1"/>
                <w:bCs w:val="1"/>
                <w:color w:val="FFFFFF"/>
              </w:rPr>
              <w:t>​ ​</w:t>
            </w:r>
          </w:p>
        </w:tc>
        <w:tc>
          <w:tcPr>
            <w:tcW w:w="96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Age</w:t>
            </w:r>
          </w:p>
        </w:tc>
        <w:tc>
          <w:tcPr>
            <w:tcW w:w="520" w:type="dxa"/>
            <w:vAlign w:val="bottom"/>
            <w:vMerge w:val="restart"/>
            <w:shd w:val="clear" w:color="auto" w:fill="395796"/>
          </w:tcPr>
          <w:p>
            <w:pPr>
              <w:ind w:left="60"/>
              <w:spacing w:after="0"/>
              <w:rPr>
                <w:sz w:val="20"/>
                <w:szCs w:val="20"/>
                <w:color w:val="auto"/>
              </w:rPr>
            </w:pPr>
            <w:r>
              <w:rPr>
                <w:rFonts w:ascii="Arial" w:cs="Arial" w:eastAsia="Arial" w:hAnsi="Arial"/>
                <w:sz w:val="14"/>
                <w:szCs w:val="14"/>
                <w:b w:val="1"/>
                <w:bCs w:val="1"/>
                <w:color w:val="FFFFFF"/>
              </w:rPr>
              <w:t>​ ​</w:t>
            </w:r>
          </w:p>
        </w:tc>
        <w:tc>
          <w:tcPr>
            <w:tcW w:w="128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Director Since</w:t>
            </w:r>
          </w:p>
        </w:tc>
        <w:tc>
          <w:tcPr>
            <w:tcW w:w="580" w:type="dxa"/>
            <w:vAlign w:val="bottom"/>
            <w:vMerge w:val="restart"/>
            <w:shd w:val="clear" w:color="auto" w:fill="395796"/>
          </w:tcPr>
          <w:p>
            <w:pPr>
              <w:ind w:left="60"/>
              <w:spacing w:after="0"/>
              <w:rPr>
                <w:sz w:val="20"/>
                <w:szCs w:val="20"/>
                <w:color w:val="auto"/>
              </w:rPr>
            </w:pPr>
            <w:r>
              <w:rPr>
                <w:rFonts w:ascii="Arial" w:cs="Arial" w:eastAsia="Arial" w:hAnsi="Arial"/>
                <w:sz w:val="14"/>
                <w:szCs w:val="14"/>
                <w:b w:val="1"/>
                <w:bCs w:val="1"/>
                <w:color w:val="FFFFFF"/>
              </w:rPr>
              <w:t>​ ​</w:t>
            </w:r>
          </w:p>
        </w:tc>
        <w:tc>
          <w:tcPr>
            <w:tcW w:w="124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Independent</w:t>
            </w:r>
          </w:p>
        </w:tc>
        <w:tc>
          <w:tcPr>
            <w:tcW w:w="220" w:type="dxa"/>
            <w:vAlign w:val="bottom"/>
            <w:vMerge w:val="restart"/>
            <w:shd w:val="clear" w:color="auto" w:fill="395796"/>
          </w:tcPr>
          <w:p>
            <w:pPr>
              <w:ind w:left="60"/>
              <w:spacing w:after="0"/>
              <w:rPr>
                <w:sz w:val="20"/>
                <w:szCs w:val="20"/>
                <w:color w:val="auto"/>
              </w:rPr>
            </w:pPr>
            <w:r>
              <w:rPr>
                <w:rFonts w:ascii="Arial" w:cs="Arial" w:eastAsia="Arial" w:hAnsi="Arial"/>
                <w:sz w:val="14"/>
                <w:szCs w:val="14"/>
                <w:b w:val="1"/>
                <w:bCs w:val="1"/>
                <w:color w:val="FFFFFF"/>
              </w:rPr>
              <w:t>​ ​</w:t>
            </w:r>
          </w:p>
        </w:tc>
        <w:tc>
          <w:tcPr>
            <w:tcW w:w="194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Committee Membership</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68"/>
        </w:trPr>
        <w:tc>
          <w:tcPr>
            <w:tcW w:w="1680" w:type="dxa"/>
            <w:vAlign w:val="bottom"/>
            <w:shd w:val="clear" w:color="auto" w:fill="395796"/>
          </w:tcPr>
          <w:p>
            <w:pPr>
              <w:ind w:left="60"/>
              <w:spacing w:after="0" w:line="49" w:lineRule="exact"/>
              <w:rPr>
                <w:sz w:val="20"/>
                <w:szCs w:val="20"/>
                <w:color w:val="auto"/>
              </w:rPr>
            </w:pPr>
            <w:r>
              <w:rPr>
                <w:rFonts w:ascii="Arial" w:cs="Arial" w:eastAsia="Arial" w:hAnsi="Arial"/>
                <w:sz w:val="5"/>
                <w:szCs w:val="5"/>
                <w:b w:val="1"/>
                <w:bCs w:val="1"/>
                <w:color w:val="FFFFFF"/>
              </w:rPr>
              <w:t>​</w:t>
            </w:r>
          </w:p>
        </w:tc>
        <w:tc>
          <w:tcPr>
            <w:tcW w:w="880" w:type="dxa"/>
            <w:vAlign w:val="bottom"/>
            <w:vMerge w:val="continue"/>
            <w:shd w:val="clear" w:color="auto" w:fill="395796"/>
          </w:tcPr>
          <w:p>
            <w:pPr>
              <w:spacing w:after="0"/>
              <w:rPr>
                <w:sz w:val="5"/>
                <w:szCs w:val="5"/>
                <w:color w:val="auto"/>
              </w:rPr>
            </w:pPr>
          </w:p>
        </w:tc>
        <w:tc>
          <w:tcPr>
            <w:tcW w:w="960" w:type="dxa"/>
            <w:vAlign w:val="bottom"/>
            <w:shd w:val="clear" w:color="auto" w:fill="395796"/>
          </w:tcPr>
          <w:p>
            <w:pPr>
              <w:spacing w:after="0"/>
              <w:rPr>
                <w:sz w:val="5"/>
                <w:szCs w:val="5"/>
                <w:color w:val="auto"/>
              </w:rPr>
            </w:pPr>
          </w:p>
        </w:tc>
        <w:tc>
          <w:tcPr>
            <w:tcW w:w="520" w:type="dxa"/>
            <w:vAlign w:val="bottom"/>
            <w:vMerge w:val="continue"/>
            <w:shd w:val="clear" w:color="auto" w:fill="395796"/>
          </w:tcPr>
          <w:p>
            <w:pPr>
              <w:spacing w:after="0"/>
              <w:rPr>
                <w:sz w:val="5"/>
                <w:szCs w:val="5"/>
                <w:color w:val="auto"/>
              </w:rPr>
            </w:pPr>
          </w:p>
        </w:tc>
        <w:tc>
          <w:tcPr>
            <w:tcW w:w="1280" w:type="dxa"/>
            <w:vAlign w:val="bottom"/>
            <w:shd w:val="clear" w:color="auto" w:fill="395796"/>
          </w:tcPr>
          <w:p>
            <w:pPr>
              <w:spacing w:after="0"/>
              <w:rPr>
                <w:sz w:val="5"/>
                <w:szCs w:val="5"/>
                <w:color w:val="auto"/>
              </w:rPr>
            </w:pPr>
          </w:p>
        </w:tc>
        <w:tc>
          <w:tcPr>
            <w:tcW w:w="580" w:type="dxa"/>
            <w:vAlign w:val="bottom"/>
            <w:vMerge w:val="continue"/>
            <w:shd w:val="clear" w:color="auto" w:fill="395796"/>
          </w:tcPr>
          <w:p>
            <w:pPr>
              <w:spacing w:after="0"/>
              <w:rPr>
                <w:sz w:val="5"/>
                <w:szCs w:val="5"/>
                <w:color w:val="auto"/>
              </w:rPr>
            </w:pPr>
          </w:p>
        </w:tc>
        <w:tc>
          <w:tcPr>
            <w:tcW w:w="1240" w:type="dxa"/>
            <w:vAlign w:val="bottom"/>
            <w:shd w:val="clear" w:color="auto" w:fill="395796"/>
          </w:tcPr>
          <w:p>
            <w:pPr>
              <w:spacing w:after="0"/>
              <w:rPr>
                <w:sz w:val="5"/>
                <w:szCs w:val="5"/>
                <w:color w:val="auto"/>
              </w:rPr>
            </w:pPr>
          </w:p>
        </w:tc>
        <w:tc>
          <w:tcPr>
            <w:tcW w:w="220" w:type="dxa"/>
            <w:vAlign w:val="bottom"/>
            <w:vMerge w:val="continue"/>
            <w:shd w:val="clear" w:color="auto" w:fill="395796"/>
          </w:tcPr>
          <w:p>
            <w:pPr>
              <w:spacing w:after="0"/>
              <w:rPr>
                <w:sz w:val="5"/>
                <w:szCs w:val="5"/>
                <w:color w:val="auto"/>
              </w:rPr>
            </w:pPr>
          </w:p>
        </w:tc>
        <w:tc>
          <w:tcPr>
            <w:tcW w:w="1940" w:type="dxa"/>
            <w:vAlign w:val="bottom"/>
            <w:shd w:val="clear" w:color="auto" w:fill="395796"/>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680" w:type="dxa"/>
            <w:vAlign w:val="bottom"/>
          </w:tcPr>
          <w:p>
            <w:pPr>
              <w:ind w:left="60"/>
              <w:spacing w:after="0" w:line="162" w:lineRule="exact"/>
              <w:rPr>
                <w:sz w:val="20"/>
                <w:szCs w:val="20"/>
                <w:color w:val="auto"/>
              </w:rPr>
            </w:pPr>
            <w:r>
              <w:rPr>
                <w:rFonts w:ascii="Arial" w:cs="Arial" w:eastAsia="Arial" w:hAnsi="Arial"/>
                <w:sz w:val="18"/>
                <w:szCs w:val="18"/>
                <w:color w:val="auto"/>
              </w:rPr>
              <w:t>​</w:t>
            </w:r>
          </w:p>
        </w:tc>
        <w:tc>
          <w:tcPr>
            <w:tcW w:w="880" w:type="dxa"/>
            <w:vAlign w:val="bottom"/>
          </w:tcPr>
          <w:p>
            <w:pPr>
              <w:ind w:left="80"/>
              <w:spacing w:after="0" w:line="162" w:lineRule="exact"/>
              <w:rPr>
                <w:sz w:val="20"/>
                <w:szCs w:val="20"/>
                <w:color w:val="auto"/>
              </w:rPr>
            </w:pPr>
            <w:r>
              <w:rPr>
                <w:rFonts w:ascii="Arial" w:cs="Arial" w:eastAsia="Arial" w:hAnsi="Arial"/>
                <w:sz w:val="18"/>
                <w:szCs w:val="18"/>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520" w:type="dxa"/>
            <w:vAlign w:val="bottom"/>
          </w:tcPr>
          <w:p>
            <w:pPr>
              <w:ind w:left="60"/>
              <w:spacing w:after="0" w:line="162" w:lineRule="exact"/>
              <w:rPr>
                <w:sz w:val="20"/>
                <w:szCs w:val="20"/>
                <w:color w:val="auto"/>
              </w:rPr>
            </w:pPr>
            <w:r>
              <w:rPr>
                <w:rFonts w:ascii="Arial" w:cs="Arial" w:eastAsia="Arial" w:hAnsi="Arial"/>
                <w:sz w:val="18"/>
                <w:szCs w:val="18"/>
                <w:color w:val="auto"/>
              </w:rPr>
              <w:t>​ ​</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2022</w:t>
            </w:r>
          </w:p>
        </w:tc>
        <w:tc>
          <w:tcPr>
            <w:tcW w:w="580" w:type="dxa"/>
            <w:vAlign w:val="bottom"/>
          </w:tcPr>
          <w:p>
            <w:pPr>
              <w:ind w:left="60"/>
              <w:spacing w:after="0" w:line="162" w:lineRule="exact"/>
              <w:rPr>
                <w:sz w:val="20"/>
                <w:szCs w:val="20"/>
                <w:color w:val="auto"/>
              </w:rPr>
            </w:pPr>
            <w:r>
              <w:rPr>
                <w:rFonts w:ascii="Arial" w:cs="Arial" w:eastAsia="Arial" w:hAnsi="Arial"/>
                <w:sz w:val="18"/>
                <w:szCs w:val="18"/>
                <w:color w:val="auto"/>
              </w:rPr>
              <w:t>​ ​</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Yes</w:t>
            </w:r>
          </w:p>
        </w:tc>
        <w:tc>
          <w:tcPr>
            <w:tcW w:w="220" w:type="dxa"/>
            <w:vAlign w:val="bottom"/>
          </w:tcPr>
          <w:p>
            <w:pPr>
              <w:ind w:left="60"/>
              <w:spacing w:after="0" w:line="162" w:lineRule="exact"/>
              <w:rPr>
                <w:sz w:val="20"/>
                <w:szCs w:val="20"/>
                <w:color w:val="auto"/>
              </w:rPr>
            </w:pPr>
            <w:r>
              <w:rPr>
                <w:rFonts w:ascii="Arial" w:cs="Arial" w:eastAsia="Arial" w:hAnsi="Arial"/>
                <w:sz w:val="18"/>
                <w:szCs w:val="18"/>
                <w:color w:val="auto"/>
              </w:rPr>
              <w:t>​ ​</w:t>
            </w:r>
          </w:p>
        </w:tc>
        <w:tc>
          <w:tcPr>
            <w:tcW w:w="1940" w:type="dxa"/>
            <w:vAlign w:val="bottom"/>
            <w:vMerge w:val="restart"/>
          </w:tcPr>
          <w:p>
            <w:pPr>
              <w:jc w:val="right"/>
              <w:ind w:right="32"/>
              <w:spacing w:after="0"/>
              <w:rPr>
                <w:sz w:val="20"/>
                <w:szCs w:val="20"/>
                <w:color w:val="auto"/>
              </w:rPr>
            </w:pPr>
            <w:r>
              <w:rPr>
                <w:rFonts w:ascii="Arial" w:cs="Arial" w:eastAsia="Arial" w:hAnsi="Arial"/>
                <w:sz w:val="18"/>
                <w:szCs w:val="18"/>
                <w:color w:val="auto"/>
              </w:rPr>
              <w:t>Audit Committee</w:t>
            </w:r>
          </w:p>
        </w:tc>
        <w:tc>
          <w:tcPr>
            <w:tcW w:w="60" w:type="dxa"/>
            <w:vAlign w:val="bottom"/>
          </w:tcPr>
          <w:p>
            <w:pPr>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2"/>
        </w:trPr>
        <w:tc>
          <w:tcPr>
            <w:tcW w:w="1680" w:type="dxa"/>
            <w:vAlign w:val="bottom"/>
          </w:tcPr>
          <w:p>
            <w:pPr>
              <w:ind w:left="60"/>
              <w:spacing w:after="0" w:line="63" w:lineRule="exact"/>
              <w:rPr>
                <w:sz w:val="20"/>
                <w:szCs w:val="20"/>
                <w:color w:val="auto"/>
              </w:rPr>
            </w:pPr>
            <w:r>
              <w:rPr>
                <w:rFonts w:ascii="Arial" w:cs="Arial" w:eastAsia="Arial" w:hAnsi="Arial"/>
                <w:sz w:val="7"/>
                <w:szCs w:val="7"/>
                <w:color w:val="auto"/>
              </w:rPr>
              <w:t>David M. Tolley</w:t>
            </w:r>
          </w:p>
        </w:tc>
        <w:tc>
          <w:tcPr>
            <w:tcW w:w="8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9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Compensation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Committee (Chair)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Nominating and</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32"/>
              <w:spacing w:after="0"/>
              <w:rPr>
                <w:sz w:val="20"/>
                <w:szCs w:val="20"/>
                <w:color w:val="auto"/>
              </w:rPr>
            </w:pPr>
            <w:r>
              <w:rPr>
                <w:rFonts w:ascii="Arial" w:cs="Arial" w:eastAsia="Arial" w:hAnsi="Arial"/>
                <w:sz w:val="18"/>
                <w:szCs w:val="18"/>
                <w:color w:val="auto"/>
                <w:w w:val="98"/>
              </w:rPr>
              <w:t>Corporate Governance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Committee</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1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680" w:type="dxa"/>
            <w:vAlign w:val="bottom"/>
            <w:shd w:val="clear" w:color="auto" w:fill="D8D8D8"/>
          </w:tcPr>
          <w:p>
            <w:pPr>
              <w:ind w:left="60"/>
              <w:spacing w:after="0" w:line="149" w:lineRule="exact"/>
              <w:rPr>
                <w:sz w:val="20"/>
                <w:szCs w:val="20"/>
                <w:color w:val="auto"/>
              </w:rPr>
            </w:pPr>
            <w:r>
              <w:rPr>
                <w:rFonts w:ascii="Arial" w:cs="Arial" w:eastAsia="Arial" w:hAnsi="Arial"/>
                <w:sz w:val="17"/>
                <w:szCs w:val="17"/>
                <w:color w:val="auto"/>
              </w:rPr>
              <w:t>​</w:t>
            </w:r>
          </w:p>
        </w:tc>
        <w:tc>
          <w:tcPr>
            <w:tcW w:w="880" w:type="dxa"/>
            <w:vAlign w:val="bottom"/>
            <w:shd w:val="clear" w:color="auto" w:fill="D8D8D8"/>
          </w:tcPr>
          <w:p>
            <w:pPr>
              <w:ind w:left="80"/>
              <w:spacing w:after="0" w:line="149" w:lineRule="exact"/>
              <w:rPr>
                <w:sz w:val="20"/>
                <w:szCs w:val="20"/>
                <w:color w:val="auto"/>
              </w:rPr>
            </w:pPr>
            <w:r>
              <w:rPr>
                <w:rFonts w:ascii="Arial" w:cs="Arial" w:eastAsia="Arial" w:hAnsi="Arial"/>
                <w:sz w:val="17"/>
                <w:szCs w:val="17"/>
                <w:color w:val="auto"/>
              </w:rPr>
              <w:t>​ ​</w:t>
            </w:r>
          </w:p>
        </w:tc>
        <w:tc>
          <w:tcPr>
            <w:tcW w:w="96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60</w:t>
            </w:r>
          </w:p>
        </w:tc>
        <w:tc>
          <w:tcPr>
            <w:tcW w:w="520" w:type="dxa"/>
            <w:vAlign w:val="bottom"/>
            <w:shd w:val="clear" w:color="auto" w:fill="D8D8D8"/>
          </w:tcPr>
          <w:p>
            <w:pPr>
              <w:ind w:left="60"/>
              <w:spacing w:after="0" w:line="149" w:lineRule="exact"/>
              <w:rPr>
                <w:sz w:val="20"/>
                <w:szCs w:val="20"/>
                <w:color w:val="auto"/>
              </w:rPr>
            </w:pPr>
            <w:r>
              <w:rPr>
                <w:rFonts w:ascii="Arial" w:cs="Arial" w:eastAsia="Arial" w:hAnsi="Arial"/>
                <w:sz w:val="17"/>
                <w:szCs w:val="17"/>
                <w:color w:val="auto"/>
              </w:rPr>
              <w:t>​ ​</w:t>
            </w:r>
          </w:p>
        </w:tc>
        <w:tc>
          <w:tcPr>
            <w:tcW w:w="128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D8D8D8"/>
          </w:tcPr>
          <w:p>
            <w:pPr>
              <w:ind w:left="60"/>
              <w:spacing w:after="0" w:line="149" w:lineRule="exact"/>
              <w:rPr>
                <w:sz w:val="20"/>
                <w:szCs w:val="20"/>
                <w:color w:val="auto"/>
              </w:rPr>
            </w:pPr>
            <w:r>
              <w:rPr>
                <w:rFonts w:ascii="Arial" w:cs="Arial" w:eastAsia="Arial" w:hAnsi="Arial"/>
                <w:sz w:val="17"/>
                <w:szCs w:val="17"/>
                <w:color w:val="auto"/>
              </w:rPr>
              <w:t>​ ​</w:t>
            </w:r>
          </w:p>
        </w:tc>
        <w:tc>
          <w:tcPr>
            <w:tcW w:w="124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Yes</w:t>
            </w:r>
          </w:p>
        </w:tc>
        <w:tc>
          <w:tcPr>
            <w:tcW w:w="220" w:type="dxa"/>
            <w:vAlign w:val="bottom"/>
            <w:shd w:val="clear" w:color="auto" w:fill="D8D8D8"/>
          </w:tcPr>
          <w:p>
            <w:pPr>
              <w:ind w:left="60"/>
              <w:spacing w:after="0" w:line="149" w:lineRule="exact"/>
              <w:rPr>
                <w:sz w:val="20"/>
                <w:szCs w:val="20"/>
                <w:color w:val="auto"/>
              </w:rPr>
            </w:pPr>
            <w:r>
              <w:rPr>
                <w:rFonts w:ascii="Arial" w:cs="Arial" w:eastAsia="Arial" w:hAnsi="Arial"/>
                <w:sz w:val="17"/>
                <w:szCs w:val="17"/>
                <w:color w:val="auto"/>
              </w:rPr>
              <w:t>​ ​</w:t>
            </w:r>
          </w:p>
        </w:tc>
        <w:tc>
          <w:tcPr>
            <w:tcW w:w="194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None</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Borders>
              <w:bottom w:val="single" w:sz="8" w:color="auto"/>
            </w:tcBorders>
            <w:shd w:val="clear" w:color="auto" w:fill="D8D8D8"/>
          </w:tcPr>
          <w:p>
            <w:pPr>
              <w:ind w:left="60"/>
              <w:spacing w:after="0" w:line="149" w:lineRule="exact"/>
              <w:rPr>
                <w:sz w:val="20"/>
                <w:szCs w:val="20"/>
                <w:color w:val="auto"/>
              </w:rPr>
            </w:pPr>
            <w:r>
              <w:rPr>
                <w:rFonts w:ascii="Arial" w:cs="Arial" w:eastAsia="Arial" w:hAnsi="Arial"/>
                <w:sz w:val="17"/>
                <w:szCs w:val="17"/>
                <w:color w:val="auto"/>
              </w:rPr>
              <w:t>Stephen H. Deckoff</w:t>
            </w:r>
          </w:p>
        </w:tc>
        <w:tc>
          <w:tcPr>
            <w:tcW w:w="880" w:type="dxa"/>
            <w:vAlign w:val="bottom"/>
            <w:tcBorders>
              <w:bottom w:val="single" w:sz="8" w:color="auto"/>
            </w:tcBorders>
            <w:shd w:val="clear" w:color="auto" w:fill="D8D8D8"/>
          </w:tcPr>
          <w:p>
            <w:pPr>
              <w:spacing w:after="0"/>
              <w:rPr>
                <w:sz w:val="12"/>
                <w:szCs w:val="12"/>
                <w:color w:val="auto"/>
              </w:rPr>
            </w:pPr>
          </w:p>
        </w:tc>
        <w:tc>
          <w:tcPr>
            <w:tcW w:w="960" w:type="dxa"/>
            <w:vAlign w:val="bottom"/>
            <w:tcBorders>
              <w:bottom w:val="single" w:sz="8" w:color="auto"/>
            </w:tcBorders>
            <w:vMerge w:val="continue"/>
            <w:shd w:val="clear" w:color="auto" w:fill="D8D8D8"/>
          </w:tcPr>
          <w:p>
            <w:pPr>
              <w:spacing w:after="0"/>
              <w:rPr>
                <w:sz w:val="12"/>
                <w:szCs w:val="12"/>
                <w:color w:val="auto"/>
              </w:rPr>
            </w:pPr>
          </w:p>
        </w:tc>
        <w:tc>
          <w:tcPr>
            <w:tcW w:w="520" w:type="dxa"/>
            <w:vAlign w:val="bottom"/>
            <w:tcBorders>
              <w:bottom w:val="single" w:sz="8" w:color="auto"/>
            </w:tcBorders>
            <w:shd w:val="clear" w:color="auto" w:fill="D8D8D8"/>
          </w:tcPr>
          <w:p>
            <w:pPr>
              <w:spacing w:after="0"/>
              <w:rPr>
                <w:sz w:val="12"/>
                <w:szCs w:val="12"/>
                <w:color w:val="auto"/>
              </w:rPr>
            </w:pPr>
          </w:p>
        </w:tc>
        <w:tc>
          <w:tcPr>
            <w:tcW w:w="1280" w:type="dxa"/>
            <w:vAlign w:val="bottom"/>
            <w:tcBorders>
              <w:bottom w:val="single" w:sz="8" w:color="auto"/>
            </w:tcBorders>
            <w:vMerge w:val="continue"/>
            <w:shd w:val="clear" w:color="auto" w:fill="D8D8D8"/>
          </w:tcPr>
          <w:p>
            <w:pPr>
              <w:spacing w:after="0"/>
              <w:rPr>
                <w:sz w:val="12"/>
                <w:szCs w:val="12"/>
                <w:color w:val="auto"/>
              </w:rPr>
            </w:pPr>
          </w:p>
        </w:tc>
        <w:tc>
          <w:tcPr>
            <w:tcW w:w="580" w:type="dxa"/>
            <w:vAlign w:val="bottom"/>
            <w:tcBorders>
              <w:bottom w:val="single" w:sz="8" w:color="auto"/>
            </w:tcBorders>
            <w:shd w:val="clear" w:color="auto" w:fill="D8D8D8"/>
          </w:tcPr>
          <w:p>
            <w:pPr>
              <w:spacing w:after="0"/>
              <w:rPr>
                <w:sz w:val="12"/>
                <w:szCs w:val="12"/>
                <w:color w:val="auto"/>
              </w:rPr>
            </w:pPr>
          </w:p>
        </w:tc>
        <w:tc>
          <w:tcPr>
            <w:tcW w:w="1240" w:type="dxa"/>
            <w:vAlign w:val="bottom"/>
            <w:tcBorders>
              <w:bottom w:val="single" w:sz="8" w:color="auto"/>
            </w:tcBorders>
            <w:vMerge w:val="continue"/>
            <w:shd w:val="clear" w:color="auto" w:fill="D8D8D8"/>
          </w:tcPr>
          <w:p>
            <w:pPr>
              <w:spacing w:after="0"/>
              <w:rPr>
                <w:sz w:val="12"/>
                <w:szCs w:val="12"/>
                <w:color w:val="auto"/>
              </w:rPr>
            </w:pPr>
          </w:p>
        </w:tc>
        <w:tc>
          <w:tcPr>
            <w:tcW w:w="220" w:type="dxa"/>
            <w:vAlign w:val="bottom"/>
            <w:tcBorders>
              <w:bottom w:val="single" w:sz="8" w:color="auto"/>
            </w:tcBorders>
            <w:shd w:val="clear" w:color="auto" w:fill="D8D8D8"/>
          </w:tcPr>
          <w:p>
            <w:pPr>
              <w:spacing w:after="0"/>
              <w:rPr>
                <w:sz w:val="12"/>
                <w:szCs w:val="12"/>
                <w:color w:val="auto"/>
              </w:rPr>
            </w:pPr>
          </w:p>
        </w:tc>
        <w:tc>
          <w:tcPr>
            <w:tcW w:w="1940" w:type="dxa"/>
            <w:vAlign w:val="bottom"/>
            <w:tcBorders>
              <w:bottom w:val="single" w:sz="8" w:color="auto"/>
            </w:tcBorders>
            <w:vMerge w:val="continue"/>
            <w:shd w:val="clear" w:color="auto" w:fill="D8D8D8"/>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60"/>
          </w:cols>
          <w:pgMar w:left="580" w:top="9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960" w:hanging="252"/>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17" w:lineRule="exact"/>
        <w:rPr>
          <w:sz w:val="20"/>
          <w:szCs w:val="20"/>
          <w:color w:val="auto"/>
        </w:rPr>
      </w:pPr>
    </w:p>
    <w:p>
      <w:pPr>
        <w:ind w:left="7300"/>
        <w:spacing w:after="0"/>
        <w:rPr>
          <w:sz w:val="20"/>
          <w:szCs w:val="20"/>
          <w:color w:val="auto"/>
        </w:rPr>
      </w:pPr>
      <w:r>
        <w:rPr>
          <w:rFonts w:ascii="Arial" w:cs="Arial" w:eastAsia="Arial" w:hAnsi="Arial"/>
          <w:sz w:val="17"/>
          <w:szCs w:val="17"/>
          <w:b w:val="1"/>
          <w:bCs w:val="1"/>
          <w:color w:val="395796"/>
        </w:rPr>
        <w:t>PROXY STATEMENT SUMMARY</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COMMITMENT TO GOOD CORPORATE GOVERNANCE</w:t>
      </w:r>
    </w:p>
    <w:p>
      <w:pPr>
        <w:spacing w:after="0" w:line="117" w:lineRule="exact"/>
        <w:rPr>
          <w:sz w:val="20"/>
          <w:szCs w:val="20"/>
          <w:color w:val="auto"/>
        </w:rPr>
      </w:pPr>
    </w:p>
    <w:p>
      <w:pPr>
        <w:jc w:val="both"/>
        <w:ind w:left="700"/>
        <w:spacing w:after="0" w:line="287" w:lineRule="auto"/>
        <w:rPr>
          <w:sz w:val="20"/>
          <w:szCs w:val="20"/>
          <w:color w:val="auto"/>
        </w:rPr>
      </w:pPr>
      <w:r>
        <w:rPr>
          <w:rFonts w:ascii="Arial" w:cs="Arial" w:eastAsia="Arial" w:hAnsi="Arial"/>
          <w:sz w:val="18"/>
          <w:szCs w:val="18"/>
          <w:color w:val="auto"/>
        </w:rPr>
        <w:t>Our board of directors monitors best practices in governance and adopts measures it determines to be in the best interest of stockholders. Highlights of our governance practices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57785</wp:posOffset>
            </wp:positionV>
            <wp:extent cx="5940425" cy="2914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40425" cy="2914015"/>
                    </a:xfrm>
                    <a:prstGeom prst="rect">
                      <a:avLst/>
                    </a:prstGeom>
                    <a:noFill/>
                  </pic:spPr>
                </pic:pic>
              </a:graphicData>
            </a:graphic>
          </wp:anchor>
        </w:drawing>
      </w:r>
    </w:p>
    <w:p>
      <w:pPr>
        <w:ind w:left="720"/>
        <w:spacing w:after="0" w:line="380"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w:t>
      </w:r>
      <w:r>
        <w:rPr>
          <w:rFonts w:ascii="MS PGothic" w:cs="MS PGothic" w:eastAsia="MS PGothic" w:hAnsi="MS PGothic"/>
          <w:sz w:val="18"/>
          <w:szCs w:val="18"/>
          <w:color w:val="395796"/>
        </w:rPr>
        <w:t>✔</w:t>
      </w:r>
      <w:r>
        <w:rPr>
          <w:rFonts w:ascii="Arial" w:cs="Arial" w:eastAsia="Arial" w:hAnsi="Arial"/>
          <w:sz w:val="18"/>
          <w:szCs w:val="18"/>
          <w:color w:val="auto"/>
        </w:rPr>
        <w:t xml:space="preserve"> </w:t>
      </w:r>
      <w:r>
        <w:rPr>
          <w:rFonts w:ascii="Arial" w:cs="Arial" w:eastAsia="Arial" w:hAnsi="Arial"/>
          <w:sz w:val="35"/>
          <w:szCs w:val="35"/>
          <w:color w:val="auto"/>
          <w:vertAlign w:val="superscript"/>
        </w:rPr>
        <w:t>​​</w:t>
      </w:r>
      <w:r>
        <w:rPr>
          <w:rFonts w:ascii="Arial" w:cs="Arial" w:eastAsia="Arial" w:hAnsi="Arial"/>
          <w:sz w:val="18"/>
          <w:szCs w:val="18"/>
          <w:color w:val="auto"/>
        </w:rPr>
        <w:t>Our directors are elected for three-year terms by majority voting in uncontested elections and by plurality voting</w:t>
      </w:r>
      <w:r>
        <w:rPr>
          <w:rFonts w:ascii="Arial" w:cs="Arial" w:eastAsia="Arial" w:hAnsi="Arial"/>
          <w:sz w:val="35"/>
          <w:szCs w:val="35"/>
          <w:color w:val="auto"/>
          <w:vertAlign w:val="superscript"/>
        </w:rPr>
        <w:t>​</w:t>
      </w:r>
    </w:p>
    <w:tbl>
      <w:tblPr>
        <w:tblLayout w:type="fixed"/>
        <w:tblInd w:w="720" w:type="dxa"/>
        <w:tblCellMar>
          <w:top w:w="0" w:type="dxa"/>
          <w:left w:w="0" w:type="dxa"/>
          <w:bottom w:w="0" w:type="dxa"/>
          <w:right w:w="0" w:type="dxa"/>
        </w:tblCellMar>
      </w:tblPr>
      <w:tr>
        <w:trPr>
          <w:trHeight w:val="186"/>
        </w:trPr>
        <w:tc>
          <w:tcPr>
            <w:tcW w:w="6960" w:type="dxa"/>
            <w:vAlign w:val="bottom"/>
          </w:tcPr>
          <w:p>
            <w:pPr>
              <w:ind w:left="380"/>
              <w:spacing w:after="0" w:line="186" w:lineRule="exact"/>
              <w:rPr>
                <w:sz w:val="20"/>
                <w:szCs w:val="20"/>
                <w:color w:val="auto"/>
              </w:rPr>
            </w:pPr>
            <w:r>
              <w:rPr>
                <w:rFonts w:ascii="Arial" w:cs="Arial" w:eastAsia="Arial" w:hAnsi="Arial"/>
                <w:sz w:val="18"/>
                <w:szCs w:val="18"/>
                <w:color w:val="auto"/>
              </w:rPr>
              <w:t>in contested elections</w:t>
            </w:r>
          </w:p>
        </w:tc>
        <w:tc>
          <w:tcPr>
            <w:tcW w:w="2280" w:type="dxa"/>
            <w:vAlign w:val="bottom"/>
          </w:tcPr>
          <w:p>
            <w:pPr>
              <w:spacing w:after="0"/>
              <w:rPr>
                <w:sz w:val="16"/>
                <w:szCs w:val="16"/>
                <w:color w:val="auto"/>
              </w:rPr>
            </w:pPr>
          </w:p>
        </w:tc>
      </w:tr>
      <w:tr>
        <w:trPr>
          <w:trHeight w:val="288"/>
        </w:trPr>
        <w:tc>
          <w:tcPr>
            <w:tcW w:w="6960" w:type="dxa"/>
            <w:vAlign w:val="bottom"/>
          </w:tcPr>
          <w:p>
            <w:pPr>
              <w:spacing w:after="0" w:line="288"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w:t>
            </w:r>
            <w:r>
              <w:rPr>
                <w:rFonts w:ascii="MS PGothic" w:cs="MS PGothic" w:eastAsia="MS PGothic" w:hAnsi="MS PGothic"/>
                <w:sz w:val="17"/>
                <w:szCs w:val="17"/>
                <w:color w:val="395796"/>
              </w:rPr>
              <w:t>✔</w:t>
            </w:r>
            <w:r>
              <w:rPr>
                <w:rFonts w:ascii="Arial" w:cs="Arial" w:eastAsia="Arial" w:hAnsi="Arial"/>
                <w:sz w:val="17"/>
                <w:szCs w:val="17"/>
                <w:color w:val="auto"/>
              </w:rPr>
              <w:t xml:space="preserve"> </w:t>
            </w:r>
            <w:r>
              <w:rPr>
                <w:rFonts w:ascii="Arial" w:cs="Arial" w:eastAsia="Arial" w:hAnsi="Arial"/>
                <w:sz w:val="33"/>
                <w:szCs w:val="33"/>
                <w:color w:val="auto"/>
                <w:vertAlign w:val="superscript"/>
              </w:rPr>
              <w:t>​​</w:t>
            </w:r>
            <w:r>
              <w:rPr>
                <w:rFonts w:ascii="Arial" w:cs="Arial" w:eastAsia="Arial" w:hAnsi="Arial"/>
                <w:sz w:val="17"/>
                <w:szCs w:val="17"/>
                <w:color w:val="auto"/>
              </w:rPr>
              <w:t>All of our directors are independent, other than our CEO</w:t>
            </w:r>
          </w:p>
        </w:tc>
        <w:tc>
          <w:tcPr>
            <w:tcW w:w="2280" w:type="dxa"/>
            <w:vAlign w:val="bottom"/>
          </w:tcPr>
          <w:p>
            <w:pPr>
              <w:ind w:left="2220"/>
              <w:spacing w:after="0"/>
              <w:rPr>
                <w:sz w:val="20"/>
                <w:szCs w:val="20"/>
                <w:color w:val="auto"/>
              </w:rPr>
            </w:pPr>
            <w:r>
              <w:rPr>
                <w:rFonts w:ascii="Arial" w:cs="Arial" w:eastAsia="Arial" w:hAnsi="Arial"/>
                <w:sz w:val="18"/>
                <w:szCs w:val="18"/>
                <w:color w:val="auto"/>
              </w:rPr>
              <w:t>​</w:t>
            </w:r>
          </w:p>
        </w:tc>
      </w:tr>
    </w:tbl>
    <w:p>
      <w:pPr>
        <w:ind w:left="72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395796"/>
        </w:rPr>
        <w:t>✔</w:t>
      </w:r>
      <w:r>
        <w:rPr>
          <w:rFonts w:ascii="Arial" w:cs="Arial" w:eastAsia="Arial" w:hAnsi="Arial"/>
          <w:sz w:val="18"/>
          <w:szCs w:val="18"/>
          <w:color w:val="auto"/>
        </w:rPr>
        <w:t xml:space="preserve"> ​​All of the members of our Audit, Compensation and Nominating and Corporate Governance Committees are​</w:t>
      </w:r>
    </w:p>
    <w:p>
      <w:pPr>
        <w:spacing w:after="0" w:line="2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9120" w:type="dxa"/>
            <w:vAlign w:val="bottom"/>
          </w:tcPr>
          <w:p>
            <w:pPr>
              <w:ind w:left="380"/>
              <w:spacing w:after="0"/>
              <w:rPr>
                <w:sz w:val="20"/>
                <w:szCs w:val="20"/>
                <w:color w:val="auto"/>
              </w:rPr>
            </w:pPr>
            <w:r>
              <w:rPr>
                <w:rFonts w:ascii="Arial" w:cs="Arial" w:eastAsia="Arial" w:hAnsi="Arial"/>
                <w:sz w:val="18"/>
                <w:szCs w:val="18"/>
                <w:color w:val="auto"/>
              </w:rPr>
              <w:t>independent</w:t>
            </w:r>
          </w:p>
        </w:tc>
        <w:tc>
          <w:tcPr>
            <w:tcW w:w="120" w:type="dxa"/>
            <w:vAlign w:val="bottom"/>
          </w:tcPr>
          <w:p>
            <w:pPr>
              <w:spacing w:after="0"/>
              <w:rPr>
                <w:sz w:val="17"/>
                <w:szCs w:val="17"/>
                <w:color w:val="auto"/>
              </w:rPr>
            </w:pPr>
          </w:p>
        </w:tc>
      </w:tr>
      <w:tr>
        <w:trPr>
          <w:trHeight w:val="257"/>
        </w:trPr>
        <w:tc>
          <w:tcPr>
            <w:tcW w:w="9120" w:type="dxa"/>
            <w:vAlign w:val="bottom"/>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r>
              <w:rPr>
                <w:rFonts w:ascii="MS PGothic" w:cs="MS PGothic" w:eastAsia="MS PGothic" w:hAnsi="MS PGothic"/>
                <w:sz w:val="16"/>
                <w:szCs w:val="16"/>
                <w:color w:val="395796"/>
              </w:rPr>
              <w:t>✔</w:t>
            </w: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r>
              <w:rPr>
                <w:rFonts w:ascii="Arial" w:cs="Arial" w:eastAsia="Arial" w:hAnsi="Arial"/>
                <w:sz w:val="16"/>
                <w:szCs w:val="16"/>
                <w:color w:val="auto"/>
              </w:rPr>
              <w:t>We have appointed an independent Chair of the Board</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57"/>
        </w:trPr>
        <w:tc>
          <w:tcPr>
            <w:tcW w:w="9120" w:type="dxa"/>
            <w:vAlign w:val="bottom"/>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r>
              <w:rPr>
                <w:rFonts w:ascii="MS PGothic" w:cs="MS PGothic" w:eastAsia="MS PGothic" w:hAnsi="MS PGothic"/>
                <w:sz w:val="16"/>
                <w:szCs w:val="16"/>
                <w:color w:val="395796"/>
              </w:rPr>
              <w:t>✔</w:t>
            </w: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r>
              <w:rPr>
                <w:rFonts w:ascii="Arial" w:cs="Arial" w:eastAsia="Arial" w:hAnsi="Arial"/>
                <w:sz w:val="16"/>
                <w:szCs w:val="16"/>
                <w:color w:val="auto"/>
              </w:rPr>
              <w:t>Executive sessions of independent directors are held at each regularly scheduled Board meeting</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57"/>
        </w:trPr>
        <w:tc>
          <w:tcPr>
            <w:tcW w:w="9120" w:type="dxa"/>
            <w:vAlign w:val="bottom"/>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r>
              <w:rPr>
                <w:rFonts w:ascii="MS PGothic" w:cs="MS PGothic" w:eastAsia="MS PGothic" w:hAnsi="MS PGothic"/>
                <w:sz w:val="16"/>
                <w:szCs w:val="16"/>
                <w:color w:val="395796"/>
              </w:rPr>
              <w:t>✔</w:t>
            </w: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r>
              <w:rPr>
                <w:rFonts w:ascii="Arial" w:cs="Arial" w:eastAsia="Arial" w:hAnsi="Arial"/>
                <w:sz w:val="16"/>
                <w:szCs w:val="16"/>
                <w:color w:val="auto"/>
              </w:rPr>
              <w:t>We conduct annual stockholder votes to ratify the selection of our independent registered public accounting firm</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56"/>
        </w:trPr>
        <w:tc>
          <w:tcPr>
            <w:tcW w:w="9120" w:type="dxa"/>
            <w:vAlign w:val="bottom"/>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r>
              <w:rPr>
                <w:rFonts w:ascii="MS PGothic" w:cs="MS PGothic" w:eastAsia="MS PGothic" w:hAnsi="MS PGothic"/>
                <w:sz w:val="16"/>
                <w:szCs w:val="16"/>
                <w:color w:val="395796"/>
              </w:rPr>
              <w:t>✔</w:t>
            </w: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r>
              <w:rPr>
                <w:rFonts w:ascii="Arial" w:cs="Arial" w:eastAsia="Arial" w:hAnsi="Arial"/>
                <w:sz w:val="16"/>
                <w:szCs w:val="16"/>
                <w:color w:val="auto"/>
              </w:rPr>
              <w:t>The majority of director compensation is in the form of KVH common stock</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57"/>
        </w:trPr>
        <w:tc>
          <w:tcPr>
            <w:tcW w:w="9120" w:type="dxa"/>
            <w:vAlign w:val="bottom"/>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w:t>
            </w:r>
            <w:r>
              <w:rPr>
                <w:rFonts w:ascii="MS PGothic" w:cs="MS PGothic" w:eastAsia="MS PGothic" w:hAnsi="MS PGothic"/>
                <w:sz w:val="16"/>
                <w:szCs w:val="16"/>
                <w:color w:val="395796"/>
              </w:rPr>
              <w:t>✔</w:t>
            </w:r>
            <w:r>
              <w:rPr>
                <w:rFonts w:ascii="Arial" w:cs="Arial" w:eastAsia="Arial" w:hAnsi="Arial"/>
                <w:sz w:val="16"/>
                <w:szCs w:val="16"/>
                <w:color w:val="auto"/>
              </w:rPr>
              <w:t xml:space="preserve"> </w:t>
            </w:r>
            <w:r>
              <w:rPr>
                <w:rFonts w:ascii="Arial" w:cs="Arial" w:eastAsia="Arial" w:hAnsi="Arial"/>
                <w:sz w:val="29"/>
                <w:szCs w:val="29"/>
                <w:color w:val="auto"/>
                <w:vertAlign w:val="superscript"/>
              </w:rPr>
              <w:t>​​</w:t>
            </w:r>
            <w:r>
              <w:rPr>
                <w:rFonts w:ascii="Arial" w:cs="Arial" w:eastAsia="Arial" w:hAnsi="Arial"/>
                <w:sz w:val="16"/>
                <w:szCs w:val="16"/>
                <w:color w:val="auto"/>
              </w:rPr>
              <w:t>We have a strong pay-for-performance executive compensation philosophy</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88"/>
        </w:trPr>
        <w:tc>
          <w:tcPr>
            <w:tcW w:w="9120" w:type="dxa"/>
            <w:vAlign w:val="bottom"/>
          </w:tcPr>
          <w:p>
            <w:pPr>
              <w:spacing w:after="0" w:line="288" w:lineRule="exact"/>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w:t>
            </w:r>
            <w:r>
              <w:rPr>
                <w:rFonts w:ascii="MS PGothic" w:cs="MS PGothic" w:eastAsia="MS PGothic" w:hAnsi="MS PGothic"/>
                <w:sz w:val="17"/>
                <w:szCs w:val="17"/>
                <w:color w:val="395796"/>
              </w:rPr>
              <w:t>✔</w:t>
            </w:r>
            <w:r>
              <w:rPr>
                <w:rFonts w:ascii="Arial" w:cs="Arial" w:eastAsia="Arial" w:hAnsi="Arial"/>
                <w:sz w:val="17"/>
                <w:szCs w:val="17"/>
                <w:color w:val="auto"/>
              </w:rPr>
              <w:t xml:space="preserve"> </w:t>
            </w:r>
            <w:r>
              <w:rPr>
                <w:rFonts w:ascii="Arial" w:cs="Arial" w:eastAsia="Arial" w:hAnsi="Arial"/>
                <w:sz w:val="33"/>
                <w:szCs w:val="33"/>
                <w:color w:val="auto"/>
                <w:vertAlign w:val="superscript"/>
              </w:rPr>
              <w:t>​​</w:t>
            </w:r>
            <w:r>
              <w:rPr>
                <w:rFonts w:ascii="Arial" w:cs="Arial" w:eastAsia="Arial" w:hAnsi="Arial"/>
                <w:sz w:val="17"/>
                <w:szCs w:val="17"/>
                <w:color w:val="auto"/>
              </w:rPr>
              <w:t>We conduct annual non-binding “say on pay” votes regarding our executive compensation program</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r>
    </w:tbl>
    <w:p>
      <w:pPr>
        <w:jc w:val="both"/>
        <w:ind w:left="1100" w:right="60" w:hanging="377"/>
        <w:spacing w:after="0" w:line="232"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395796"/>
        </w:rPr>
        <w:t>✔</w:t>
      </w:r>
      <w:r>
        <w:rPr>
          <w:rFonts w:ascii="Arial" w:cs="Arial" w:eastAsia="Arial" w:hAnsi="Arial"/>
          <w:sz w:val="18"/>
          <w:szCs w:val="18"/>
          <w:color w:val="auto"/>
        </w:rPr>
        <w:t xml:space="preserve"> ​​We have a “double-trigger” requirement for executives to receive cash severance and equity vesting upon a​ change of control</w:t>
      </w:r>
    </w:p>
    <w:p>
      <w:pPr>
        <w:spacing w:after="0" w:line="2" w:lineRule="exact"/>
        <w:rPr>
          <w:sz w:val="20"/>
          <w:szCs w:val="20"/>
          <w:color w:val="auto"/>
        </w:rPr>
      </w:pPr>
    </w:p>
    <w:p>
      <w:pPr>
        <w:ind w:left="720"/>
        <w:spacing w:after="0" w:line="207"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395796"/>
        </w:rPr>
        <w:t>✔</w:t>
      </w:r>
      <w:r>
        <w:rPr>
          <w:rFonts w:ascii="Arial" w:cs="Arial" w:eastAsia="Arial" w:hAnsi="Arial"/>
          <w:sz w:val="18"/>
          <w:szCs w:val="18"/>
          <w:color w:val="auto"/>
        </w:rPr>
        <w:t xml:space="preserve"> ​​Our Compensation Committee is responsible for hiring any independent compensation consultant hired to assist​</w:t>
      </w:r>
    </w:p>
    <w:p>
      <w:pPr>
        <w:spacing w:after="0" w:line="4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determining executive compensation</w:t>
      </w:r>
    </w:p>
    <w:p>
      <w:pPr>
        <w:ind w:left="720"/>
        <w:spacing w:after="0" w:line="278" w:lineRule="exact"/>
        <w:tabs>
          <w:tab w:leader="none" w:pos="9880" w:val="left"/>
        </w:tabs>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w:t>
      </w:r>
      <w:r>
        <w:rPr>
          <w:rFonts w:ascii="MS PGothic" w:cs="MS PGothic" w:eastAsia="MS PGothic" w:hAnsi="MS PGothic"/>
          <w:sz w:val="17"/>
          <w:szCs w:val="17"/>
          <w:color w:val="395796"/>
        </w:rPr>
        <w:t>✔</w:t>
      </w:r>
      <w:r>
        <w:rPr>
          <w:rFonts w:ascii="Arial" w:cs="Arial" w:eastAsia="Arial" w:hAnsi="Arial"/>
          <w:sz w:val="17"/>
          <w:szCs w:val="17"/>
          <w:color w:val="auto"/>
        </w:rPr>
        <w:t xml:space="preserve"> </w:t>
      </w:r>
      <w:r>
        <w:rPr>
          <w:rFonts w:ascii="Arial" w:cs="Arial" w:eastAsia="Arial" w:hAnsi="Arial"/>
          <w:sz w:val="32"/>
          <w:szCs w:val="32"/>
          <w:color w:val="auto"/>
          <w:vertAlign w:val="superscript"/>
        </w:rPr>
        <w:t>​​</w:t>
      </w:r>
      <w:r>
        <w:rPr>
          <w:rFonts w:ascii="Arial" w:cs="Arial" w:eastAsia="Arial" w:hAnsi="Arial"/>
          <w:sz w:val="17"/>
          <w:szCs w:val="17"/>
          <w:color w:val="auto"/>
        </w:rPr>
        <w:t>We conduct annual board and committee self-assessments</w:t>
      </w:r>
      <w:r>
        <w:rPr>
          <w:sz w:val="20"/>
          <w:szCs w:val="20"/>
          <w:color w:val="auto"/>
        </w:rPr>
        <w:tab/>
      </w:r>
      <w:r>
        <w:rPr>
          <w:rFonts w:ascii="Arial" w:cs="Arial" w:eastAsia="Arial" w:hAnsi="Arial"/>
          <w:sz w:val="32"/>
          <w:szCs w:val="32"/>
          <w:color w:val="auto"/>
          <w:vertAlign w:val="superscript"/>
        </w:rPr>
        <w:t>​</w:t>
      </w:r>
    </w:p>
    <w:p>
      <w:pPr>
        <w:spacing w:after="0" w:line="2" w:lineRule="exact"/>
        <w:rPr>
          <w:sz w:val="20"/>
          <w:szCs w:val="20"/>
          <w:color w:val="auto"/>
        </w:rPr>
      </w:pPr>
    </w:p>
    <w:p>
      <w:pPr>
        <w:jc w:val="both"/>
        <w:ind w:left="1100" w:right="60" w:hanging="377"/>
        <w:spacing w:after="0" w:line="232" w:lineRule="exact"/>
        <w:rPr>
          <w:sz w:val="20"/>
          <w:szCs w:val="20"/>
          <w:color w:val="auto"/>
        </w:rPr>
      </w:pPr>
      <w:r>
        <w:rPr>
          <w:rFonts w:ascii="Arial" w:cs="Arial" w:eastAsia="Arial" w:hAnsi="Arial"/>
          <w:sz w:val="18"/>
          <w:szCs w:val="18"/>
          <w:color w:val="auto"/>
        </w:rPr>
        <w:t xml:space="preserve">​ </w:t>
      </w:r>
      <w:r>
        <w:rPr>
          <w:rFonts w:ascii="MS PGothic" w:cs="MS PGothic" w:eastAsia="MS PGothic" w:hAnsi="MS PGothic"/>
          <w:sz w:val="18"/>
          <w:szCs w:val="18"/>
          <w:color w:val="395796"/>
        </w:rPr>
        <w:t>✔</w:t>
      </w:r>
      <w:r>
        <w:rPr>
          <w:rFonts w:ascii="Arial" w:cs="Arial" w:eastAsia="Arial" w:hAnsi="Arial"/>
          <w:sz w:val="18"/>
          <w:szCs w:val="18"/>
          <w:color w:val="auto"/>
        </w:rPr>
        <w:t xml:space="preserve"> ​​We prohibit short sales, transactions in derivatives, hedging, and pledging of KVH securities by our directors and​ named executive officers</w:t>
      </w:r>
    </w:p>
    <w:p>
      <w:pPr>
        <w:spacing w:after="0" w:line="26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NON-BINDING SAY ON PAY VOTE</w:t>
      </w:r>
    </w:p>
    <w:p>
      <w:pPr>
        <w:spacing w:after="0" w:line="117" w:lineRule="exact"/>
        <w:rPr>
          <w:sz w:val="20"/>
          <w:szCs w:val="20"/>
          <w:color w:val="auto"/>
        </w:rPr>
      </w:pPr>
    </w:p>
    <w:p>
      <w:pPr>
        <w:jc w:val="both"/>
        <w:ind w:left="700"/>
        <w:spacing w:after="0" w:line="274" w:lineRule="auto"/>
        <w:rPr>
          <w:sz w:val="20"/>
          <w:szCs w:val="20"/>
          <w:color w:val="auto"/>
        </w:rPr>
      </w:pPr>
      <w:r>
        <w:rPr>
          <w:rFonts w:ascii="Arial" w:cs="Arial" w:eastAsia="Arial" w:hAnsi="Arial"/>
          <w:sz w:val="17"/>
          <w:szCs w:val="17"/>
          <w:color w:val="auto"/>
        </w:rPr>
        <w:t>We are asking our stockholders to approve, in a non-binding vote, the compensation awarded to our named executive officers for 2025. The compensation committee of our board of directors oversees our executive compensation program, which is designed to motivate our executives to increase profitability and stockholder returns, to tie pay to performance effectively, and to compete effectively for and retain managerial talent. We are asking our stockholders to indicate their support for our named executive officer compensation. We believe that our executive compensation program was designed appropriately and is working to retain valuable members of management and to ensure that their interests are aligned with our stockholders’ interests to support long-term value creation.</w:t>
      </w:r>
    </w:p>
    <w:p>
      <w:pPr>
        <w:spacing w:after="0" w:line="58" w:lineRule="exact"/>
        <w:rPr>
          <w:sz w:val="20"/>
          <w:szCs w:val="20"/>
          <w:color w:val="auto"/>
        </w:rPr>
      </w:pPr>
    </w:p>
    <w:p>
      <w:pPr>
        <w:jc w:val="both"/>
        <w:ind w:left="700" w:right="20"/>
        <w:spacing w:after="0" w:line="262" w:lineRule="auto"/>
        <w:rPr>
          <w:sz w:val="20"/>
          <w:szCs w:val="20"/>
          <w:color w:val="auto"/>
        </w:rPr>
      </w:pPr>
      <w:r>
        <w:rPr>
          <w:rFonts w:ascii="Arial" w:cs="Arial" w:eastAsia="Arial" w:hAnsi="Arial"/>
          <w:sz w:val="18"/>
          <w:szCs w:val="18"/>
          <w:color w:val="auto"/>
        </w:rPr>
        <w:t>This “say on pay” vote is not intended to address any specific item of compensation, but rather the overall compensation of our named executive officers and the compensation methodology described in this proxy statement. While this vote is advisory and not binding, the board and the compensation committee will consider the outcome of the vote, along with other relevant factors, when considering future executive compensation decisions.</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Additional information regarding the non-binding “say on pay” vote may be found on pages </w:t>
      </w:r>
      <w:r>
        <w:rPr>
          <w:rFonts w:ascii="Arial" w:cs="Arial" w:eastAsia="Arial" w:hAnsi="Arial"/>
          <w:sz w:val="18"/>
          <w:szCs w:val="18"/>
          <w:u w:val="single" w:color="auto"/>
          <w:color w:val="0000EE"/>
        </w:rPr>
        <w:t>9</w:t>
      </w:r>
      <w:r>
        <w:rPr>
          <w:rFonts w:ascii="Arial" w:cs="Arial" w:eastAsia="Arial" w:hAnsi="Arial"/>
          <w:sz w:val="18"/>
          <w:szCs w:val="18"/>
          <w:color w:val="auto"/>
        </w:rPr>
        <w:t xml:space="preserve"> - </w:t>
      </w:r>
      <w:r>
        <w:rPr>
          <w:rFonts w:ascii="Arial" w:cs="Arial" w:eastAsia="Arial" w:hAnsi="Arial"/>
          <w:sz w:val="18"/>
          <w:szCs w:val="18"/>
          <w:u w:val="single" w:color="auto"/>
          <w:color w:val="0000EE"/>
        </w:rPr>
        <w:t>11</w:t>
      </w:r>
      <w:r>
        <w:rPr>
          <w:rFonts w:ascii="Arial" w:cs="Arial" w:eastAsia="Arial" w:hAnsi="Arial"/>
          <w:sz w:val="18"/>
          <w:szCs w:val="18"/>
          <w:color w:val="auto"/>
        </w:rPr>
        <w:t>.</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380"/>
        <w:spacing w:after="0"/>
        <w:rPr>
          <w:sz w:val="20"/>
          <w:szCs w:val="20"/>
          <w:color w:val="auto"/>
        </w:rPr>
      </w:pPr>
      <w:r>
        <w:rPr>
          <w:rFonts w:ascii="Arial" w:cs="Arial" w:eastAsia="Arial" w:hAnsi="Arial"/>
          <w:sz w:val="17"/>
          <w:szCs w:val="17"/>
          <w:color w:val="395796"/>
        </w:rPr>
        <w:t xml:space="preserve">KVH Industries, Inc. 2026 Proxy Statement  </w:t>
      </w:r>
      <w:r>
        <w:rPr>
          <w:rFonts w:ascii="Arial" w:cs="Arial" w:eastAsia="Arial" w:hAnsi="Arial"/>
          <w:sz w:val="17"/>
          <w:szCs w:val="17"/>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395796"/>
        </w:rPr>
        <w:t>PROXY STATEMENT SUMMARY</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2025 EXECUTIVE COMPENSATION HIGHLIGHTS</w:t>
      </w:r>
    </w:p>
    <w:p>
      <w:pPr>
        <w:spacing w:after="0" w:line="104" w:lineRule="exact"/>
        <w:rPr>
          <w:sz w:val="20"/>
          <w:szCs w:val="20"/>
          <w:color w:val="auto"/>
        </w:rPr>
      </w:pPr>
    </w:p>
    <w:p>
      <w:pPr>
        <w:jc w:val="both"/>
        <w:ind w:left="700"/>
        <w:spacing w:after="0" w:line="262" w:lineRule="auto"/>
        <w:rPr>
          <w:sz w:val="20"/>
          <w:szCs w:val="20"/>
          <w:color w:val="auto"/>
        </w:rPr>
      </w:pPr>
      <w:r>
        <w:rPr>
          <w:rFonts w:ascii="Arial" w:cs="Arial" w:eastAsia="Arial" w:hAnsi="Arial"/>
          <w:sz w:val="18"/>
          <w:szCs w:val="18"/>
          <w:color w:val="auto"/>
        </w:rPr>
        <w:t>The 2025 compensation program for our named executive officers was comprised of three primary elements – base salary, cash-based incentive compensation and annual equity grants. We believe the compensation program for our named executive officers included key features that aligned the interests of our executives with KVH’s business strategies and goals as well as stockholders’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64135</wp:posOffset>
            </wp:positionV>
            <wp:extent cx="5940425" cy="5460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40425" cy="546036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9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160" w:type="dxa"/>
            <w:vAlign w:val="bottom"/>
          </w:tcPr>
          <w:p>
            <w:pPr>
              <w:spacing w:after="0"/>
              <w:rPr>
                <w:sz w:val="20"/>
                <w:szCs w:val="20"/>
                <w:color w:val="auto"/>
              </w:rPr>
            </w:pPr>
            <w:r>
              <w:rPr>
                <w:rFonts w:ascii="Arial" w:cs="Arial" w:eastAsia="Arial" w:hAnsi="Arial"/>
                <w:sz w:val="18"/>
                <w:szCs w:val="18"/>
                <w:b w:val="1"/>
                <w:bCs w:val="1"/>
                <w:color w:val="auto"/>
              </w:rPr>
              <w:t>​ What We Do</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What We Don’t Do</w:t>
            </w:r>
          </w:p>
        </w:tc>
        <w:tc>
          <w:tcPr>
            <w:tcW w:w="0" w:type="dxa"/>
            <w:vAlign w:val="bottom"/>
          </w:tcPr>
          <w:p>
            <w:pPr>
              <w:spacing w:after="0"/>
              <w:rPr>
                <w:sz w:val="1"/>
                <w:szCs w:val="1"/>
                <w:color w:val="auto"/>
              </w:rPr>
            </w:pPr>
          </w:p>
        </w:tc>
      </w:tr>
      <w:tr>
        <w:trPr>
          <w:trHeight w:val="324"/>
        </w:trPr>
        <w:tc>
          <w:tcPr>
            <w:tcW w:w="4160" w:type="dxa"/>
            <w:vAlign w:val="bottom"/>
          </w:tcPr>
          <w:p>
            <w:pPr>
              <w:spacing w:after="0" w:line="324"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w:t>
            </w:r>
            <w:r>
              <w:rPr>
                <w:rFonts w:ascii="MS PGothic" w:cs="MS PGothic" w:eastAsia="MS PGothic" w:hAnsi="MS PGothic"/>
                <w:sz w:val="18"/>
                <w:szCs w:val="18"/>
                <w:color w:val="395796"/>
              </w:rPr>
              <w:t>✔</w:t>
            </w:r>
            <w:r>
              <w:rPr>
                <w:rFonts w:ascii="Arial" w:cs="Arial" w:eastAsia="Arial" w:hAnsi="Arial"/>
                <w:sz w:val="18"/>
                <w:szCs w:val="18"/>
                <w:color w:val="auto"/>
              </w:rPr>
              <w:t xml:space="preserve"> Offer  competitive  compensation  that  attracts</w:t>
            </w:r>
          </w:p>
        </w:tc>
        <w:tc>
          <w:tcPr>
            <w:tcW w:w="560" w:type="dxa"/>
            <w:vAlign w:val="bottom"/>
          </w:tcPr>
          <w:p>
            <w:pPr>
              <w:jc w:val="right"/>
              <w:spacing w:after="0" w:line="324" w:lineRule="exact"/>
              <w:rPr>
                <w:sz w:val="20"/>
                <w:szCs w:val="20"/>
                <w:color w:val="auto"/>
              </w:rPr>
            </w:pPr>
            <w:r>
              <w:rPr>
                <w:rFonts w:ascii="Arial" w:cs="Arial" w:eastAsia="Arial" w:hAnsi="Arial"/>
                <w:sz w:val="18"/>
                <w:szCs w:val="18"/>
                <w:color w:val="auto"/>
              </w:rPr>
              <w:t>and</w:t>
            </w:r>
            <w:r>
              <w:rPr>
                <w:rFonts w:ascii="Arial" w:cs="Arial" w:eastAsia="Arial" w:hAnsi="Arial"/>
                <w:sz w:val="35"/>
                <w:szCs w:val="35"/>
                <w:color w:val="auto"/>
                <w:vertAlign w:val="superscript"/>
              </w:rPr>
              <w:t>​ ​</w:t>
            </w:r>
          </w:p>
        </w:tc>
        <w:tc>
          <w:tcPr>
            <w:tcW w:w="4460" w:type="dxa"/>
            <w:vAlign w:val="bottom"/>
          </w:tcPr>
          <w:p>
            <w:pPr>
              <w:ind w:left="40"/>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No tax gross-ups</w:t>
            </w:r>
          </w:p>
        </w:tc>
        <w:tc>
          <w:tcPr>
            <w:tcW w:w="0" w:type="dxa"/>
            <w:vAlign w:val="bottom"/>
          </w:tcPr>
          <w:p>
            <w:pPr>
              <w:spacing w:after="0"/>
              <w:rPr>
                <w:sz w:val="1"/>
                <w:szCs w:val="1"/>
                <w:color w:val="auto"/>
              </w:rPr>
            </w:pPr>
          </w:p>
        </w:tc>
      </w:tr>
      <w:tr>
        <w:trPr>
          <w:trHeight w:val="221"/>
        </w:trPr>
        <w:tc>
          <w:tcPr>
            <w:tcW w:w="4720" w:type="dxa"/>
            <w:vAlign w:val="bottom"/>
            <w:gridSpan w:val="2"/>
          </w:tcPr>
          <w:p>
            <w:pPr>
              <w:ind w:left="320"/>
              <w:spacing w:after="0"/>
              <w:rPr>
                <w:sz w:val="20"/>
                <w:szCs w:val="20"/>
                <w:color w:val="auto"/>
              </w:rPr>
            </w:pPr>
            <w:r>
              <w:rPr>
                <w:rFonts w:ascii="Arial" w:cs="Arial" w:eastAsia="Arial" w:hAnsi="Arial"/>
                <w:sz w:val="18"/>
                <w:szCs w:val="18"/>
                <w:color w:val="auto"/>
              </w:rPr>
              <w:t>retains executive talent, including selective retention</w:t>
            </w:r>
          </w:p>
        </w:tc>
        <w:tc>
          <w:tcPr>
            <w:tcW w:w="4460" w:type="dxa"/>
            <w:vAlign w:val="bottom"/>
          </w:tcPr>
          <w:p>
            <w:pPr>
              <w:ind w:left="40"/>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No guaranteed salary increases</w:t>
            </w:r>
          </w:p>
        </w:tc>
        <w:tc>
          <w:tcPr>
            <w:tcW w:w="0" w:type="dxa"/>
            <w:vAlign w:val="bottom"/>
          </w:tcPr>
          <w:p>
            <w:pPr>
              <w:spacing w:after="0"/>
              <w:rPr>
                <w:sz w:val="1"/>
                <w:szCs w:val="1"/>
                <w:color w:val="auto"/>
              </w:rPr>
            </w:pPr>
          </w:p>
        </w:tc>
      </w:tr>
      <w:tr>
        <w:trPr>
          <w:trHeight w:val="270"/>
        </w:trPr>
        <w:tc>
          <w:tcPr>
            <w:tcW w:w="4160" w:type="dxa"/>
            <w:vAlign w:val="bottom"/>
          </w:tcPr>
          <w:p>
            <w:pPr>
              <w:ind w:left="320"/>
              <w:spacing w:after="0"/>
              <w:rPr>
                <w:sz w:val="20"/>
                <w:szCs w:val="20"/>
                <w:color w:val="auto"/>
              </w:rPr>
            </w:pPr>
            <w:r>
              <w:rPr>
                <w:rFonts w:ascii="Arial" w:cs="Arial" w:eastAsia="Arial" w:hAnsi="Arial"/>
                <w:sz w:val="18"/>
                <w:szCs w:val="18"/>
                <w:color w:val="auto"/>
              </w:rPr>
              <w:t>bonuses during periods of significant transition</w:t>
            </w:r>
          </w:p>
        </w:tc>
        <w:tc>
          <w:tcPr>
            <w:tcW w:w="560" w:type="dxa"/>
            <w:vAlign w:val="bottom"/>
          </w:tcPr>
          <w:p>
            <w:pPr>
              <w:spacing w:after="0"/>
              <w:rPr>
                <w:sz w:val="23"/>
                <w:szCs w:val="23"/>
                <w:color w:val="auto"/>
              </w:rPr>
            </w:pPr>
          </w:p>
        </w:tc>
        <w:tc>
          <w:tcPr>
            <w:tcW w:w="4460" w:type="dxa"/>
            <w:vAlign w:val="bottom"/>
          </w:tcPr>
          <w:p>
            <w:pPr>
              <w:ind w:left="40"/>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No evergreen provisions in our equity plan</w:t>
            </w:r>
          </w:p>
        </w:tc>
        <w:tc>
          <w:tcPr>
            <w:tcW w:w="0" w:type="dxa"/>
            <w:vAlign w:val="bottom"/>
          </w:tcPr>
          <w:p>
            <w:pPr>
              <w:spacing w:after="0"/>
              <w:rPr>
                <w:sz w:val="1"/>
                <w:szCs w:val="1"/>
                <w:color w:val="auto"/>
              </w:rPr>
            </w:pPr>
          </w:p>
        </w:tc>
      </w:tr>
      <w:tr>
        <w:trPr>
          <w:trHeight w:val="283"/>
        </w:trPr>
        <w:tc>
          <w:tcPr>
            <w:tcW w:w="4720" w:type="dxa"/>
            <w:vAlign w:val="bottom"/>
            <w:gridSpan w:val="2"/>
          </w:tcPr>
          <w:p>
            <w:pPr>
              <w:ind w:left="100"/>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Seek to align the interests of our named executive</w:t>
            </w:r>
          </w:p>
        </w:tc>
        <w:tc>
          <w:tcPr>
            <w:tcW w:w="4460" w:type="dxa"/>
            <w:vAlign w:val="bottom"/>
          </w:tcPr>
          <w:p>
            <w:pPr>
              <w:ind w:left="40"/>
              <w:spacing w:after="0" w:line="207" w:lineRule="exact"/>
              <w:rPr>
                <w:sz w:val="20"/>
                <w:szCs w:val="20"/>
                <w:color w:val="auto"/>
              </w:rPr>
            </w:pPr>
            <w:r>
              <w:rPr>
                <w:rFonts w:ascii="MS PGothic" w:cs="MS PGothic" w:eastAsia="MS PGothic" w:hAnsi="MS PGothic"/>
                <w:sz w:val="18"/>
                <w:szCs w:val="18"/>
                <w:color w:val="395796"/>
                <w:w w:val="97"/>
              </w:rPr>
              <w:t>✘</w:t>
            </w:r>
            <w:r>
              <w:rPr>
                <w:rFonts w:ascii="Arial" w:cs="Arial" w:eastAsia="Arial" w:hAnsi="Arial"/>
                <w:sz w:val="18"/>
                <w:szCs w:val="18"/>
                <w:color w:val="auto"/>
                <w:w w:val="97"/>
              </w:rPr>
              <w:t xml:space="preserve"> No “liberal share recycling” of restricted stock or other</w:t>
            </w:r>
          </w:p>
        </w:tc>
        <w:tc>
          <w:tcPr>
            <w:tcW w:w="0" w:type="dxa"/>
            <w:vAlign w:val="bottom"/>
          </w:tcPr>
          <w:p>
            <w:pPr>
              <w:spacing w:after="0"/>
              <w:rPr>
                <w:sz w:val="1"/>
                <w:szCs w:val="1"/>
                <w:color w:val="auto"/>
              </w:rPr>
            </w:pPr>
          </w:p>
        </w:tc>
      </w:tr>
      <w:tr>
        <w:trPr>
          <w:trHeight w:val="184"/>
        </w:trPr>
        <w:tc>
          <w:tcPr>
            <w:tcW w:w="4720" w:type="dxa"/>
            <w:vAlign w:val="bottom"/>
            <w:gridSpan w:val="2"/>
          </w:tcPr>
          <w:p>
            <w:pPr>
              <w:ind w:left="320"/>
              <w:spacing w:after="0" w:line="183" w:lineRule="exact"/>
              <w:rPr>
                <w:sz w:val="20"/>
                <w:szCs w:val="20"/>
                <w:color w:val="auto"/>
              </w:rPr>
            </w:pPr>
            <w:r>
              <w:rPr>
                <w:rFonts w:ascii="Arial" w:cs="Arial" w:eastAsia="Arial" w:hAnsi="Arial"/>
                <w:sz w:val="18"/>
                <w:szCs w:val="18"/>
                <w:color w:val="auto"/>
              </w:rPr>
              <w:t>officers with those of our stockholders and reward the</w:t>
            </w:r>
          </w:p>
        </w:tc>
        <w:tc>
          <w:tcPr>
            <w:tcW w:w="4460" w:type="dxa"/>
            <w:vAlign w:val="bottom"/>
            <w:vMerge w:val="restart"/>
          </w:tcPr>
          <w:p>
            <w:pPr>
              <w:ind w:left="240"/>
              <w:spacing w:after="0"/>
              <w:rPr>
                <w:sz w:val="20"/>
                <w:szCs w:val="20"/>
                <w:color w:val="auto"/>
              </w:rPr>
            </w:pPr>
            <w:r>
              <w:rPr>
                <w:rFonts w:ascii="Arial" w:cs="Arial" w:eastAsia="Arial" w:hAnsi="Arial"/>
                <w:sz w:val="18"/>
                <w:szCs w:val="18"/>
                <w:color w:val="auto"/>
              </w:rPr>
              <w:t>full-value awards under our equity plan</w:t>
            </w:r>
          </w:p>
        </w:tc>
        <w:tc>
          <w:tcPr>
            <w:tcW w:w="0" w:type="dxa"/>
            <w:vAlign w:val="bottom"/>
          </w:tcPr>
          <w:p>
            <w:pPr>
              <w:spacing w:after="0"/>
              <w:rPr>
                <w:sz w:val="1"/>
                <w:szCs w:val="1"/>
                <w:color w:val="auto"/>
              </w:rPr>
            </w:pPr>
          </w:p>
        </w:tc>
      </w:tr>
      <w:tr>
        <w:trPr>
          <w:trHeight w:val="90"/>
        </w:trPr>
        <w:tc>
          <w:tcPr>
            <w:tcW w:w="4720" w:type="dxa"/>
            <w:vAlign w:val="bottom"/>
            <w:gridSpan w:val="2"/>
            <w:vMerge w:val="restart"/>
          </w:tcPr>
          <w:p>
            <w:pPr>
              <w:ind w:left="320"/>
              <w:spacing w:after="0"/>
              <w:rPr>
                <w:sz w:val="20"/>
                <w:szCs w:val="20"/>
                <w:color w:val="auto"/>
              </w:rPr>
            </w:pPr>
            <w:r>
              <w:rPr>
                <w:rFonts w:ascii="Arial" w:cs="Arial" w:eastAsia="Arial" w:hAnsi="Arial"/>
                <w:sz w:val="18"/>
                <w:szCs w:val="18"/>
                <w:color w:val="auto"/>
              </w:rPr>
              <w:t>creation of long-term value for KVH stockholders</w:t>
            </w:r>
          </w:p>
        </w:tc>
        <w:tc>
          <w:tcPr>
            <w:tcW w:w="4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720" w:type="dxa"/>
            <w:vAlign w:val="bottom"/>
            <w:gridSpan w:val="2"/>
            <w:vMerge w:val="continue"/>
          </w:tcPr>
          <w:p>
            <w:pPr>
              <w:spacing w:after="0"/>
              <w:rPr>
                <w:sz w:val="10"/>
                <w:szCs w:val="10"/>
                <w:color w:val="auto"/>
              </w:rPr>
            </w:pPr>
          </w:p>
        </w:tc>
        <w:tc>
          <w:tcPr>
            <w:tcW w:w="4460" w:type="dxa"/>
            <w:vAlign w:val="bottom"/>
            <w:vMerge w:val="restart"/>
          </w:tcPr>
          <w:p>
            <w:pPr>
              <w:ind w:left="40"/>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No repricing of stock options or stock appreciation</w:t>
            </w:r>
          </w:p>
        </w:tc>
        <w:tc>
          <w:tcPr>
            <w:tcW w:w="0" w:type="dxa"/>
            <w:vAlign w:val="bottom"/>
          </w:tcPr>
          <w:p>
            <w:pPr>
              <w:spacing w:after="0"/>
              <w:rPr>
                <w:sz w:val="1"/>
                <w:szCs w:val="1"/>
                <w:color w:val="auto"/>
              </w:rPr>
            </w:pPr>
          </w:p>
        </w:tc>
      </w:tr>
      <w:tr>
        <w:trPr>
          <w:trHeight w:val="181"/>
        </w:trPr>
        <w:tc>
          <w:tcPr>
            <w:tcW w:w="4720" w:type="dxa"/>
            <w:vAlign w:val="bottom"/>
            <w:gridSpan w:val="2"/>
          </w:tcPr>
          <w:p>
            <w:pPr>
              <w:ind w:left="320"/>
              <w:spacing w:after="0" w:line="181" w:lineRule="exact"/>
              <w:rPr>
                <w:sz w:val="20"/>
                <w:szCs w:val="20"/>
                <w:color w:val="auto"/>
              </w:rPr>
            </w:pPr>
            <w:r>
              <w:rPr>
                <w:rFonts w:ascii="Arial" w:cs="Arial" w:eastAsia="Arial" w:hAnsi="Arial"/>
                <w:sz w:val="18"/>
                <w:szCs w:val="18"/>
                <w:color w:val="auto"/>
              </w:rPr>
              <w:t>through equity grants comprising a significant portion</w:t>
            </w:r>
          </w:p>
        </w:tc>
        <w:tc>
          <w:tcPr>
            <w:tcW w:w="4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4160" w:type="dxa"/>
            <w:vAlign w:val="bottom"/>
          </w:tcPr>
          <w:p>
            <w:pPr>
              <w:ind w:left="320"/>
              <w:spacing w:after="0"/>
              <w:rPr>
                <w:sz w:val="20"/>
                <w:szCs w:val="20"/>
                <w:color w:val="auto"/>
              </w:rPr>
            </w:pPr>
            <w:r>
              <w:rPr>
                <w:rFonts w:ascii="Arial" w:cs="Arial" w:eastAsia="Arial" w:hAnsi="Arial"/>
                <w:sz w:val="18"/>
                <w:szCs w:val="18"/>
                <w:color w:val="auto"/>
              </w:rPr>
              <w:t>of total target compensation</w:t>
            </w:r>
          </w:p>
        </w:tc>
        <w:tc>
          <w:tcPr>
            <w:tcW w:w="560" w:type="dxa"/>
            <w:vAlign w:val="bottom"/>
          </w:tcPr>
          <w:p>
            <w:pPr>
              <w:spacing w:after="0"/>
              <w:rPr>
                <w:sz w:val="23"/>
                <w:szCs w:val="23"/>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rights without stockholder approval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rPr>
          <w:sz w:val="20"/>
          <w:szCs w:val="20"/>
          <w:color w:val="auto"/>
        </w:rPr>
      </w:pPr>
      <w:r>
        <w:rPr>
          <w:rFonts w:ascii="Arial" w:cs="Arial" w:eastAsia="Arial" w:hAnsi="Arial"/>
          <w:sz w:val="18"/>
          <w:szCs w:val="18"/>
          <w:color w:val="auto"/>
        </w:rPr>
        <w:t>​</w:t>
      </w:r>
    </w:p>
    <w:p>
      <w:pPr>
        <w:spacing w:after="0" w:line="1729" w:lineRule="exact"/>
        <w:rPr>
          <w:sz w:val="20"/>
          <w:szCs w:val="20"/>
          <w:color w:val="auto"/>
        </w:rPr>
      </w:pPr>
    </w:p>
    <w:p>
      <w:pPr>
        <w:sectPr>
          <w:pgSz w:w="11900" w:h="16838" w:orient="portrait"/>
          <w:cols w:equalWidth="0" w:num="2">
            <w:col w:w="9900" w:space="0"/>
            <w:col w:w="120"/>
          </w:cols>
          <w:pgMar w:left="580" w:top="97" w:right="1299" w:bottom="1440" w:gutter="0" w:footer="0" w:header="0"/>
          <w:type w:val="continuous"/>
        </w:sectPr>
      </w:pPr>
    </w:p>
    <w:tbl>
      <w:tblPr>
        <w:tblLayout w:type="fixed"/>
        <w:tblInd w:w="820" w:type="dxa"/>
        <w:tblCellMar>
          <w:top w:w="0" w:type="dxa"/>
          <w:left w:w="0" w:type="dxa"/>
          <w:bottom w:w="0" w:type="dxa"/>
          <w:right w:w="0" w:type="dxa"/>
        </w:tblCellMar>
      </w:tblPr>
      <w:tr>
        <w:trPr>
          <w:trHeight w:val="252"/>
        </w:trPr>
        <w:tc>
          <w:tcPr>
            <w:tcW w:w="1620" w:type="dxa"/>
            <w:vAlign w:val="bottom"/>
          </w:tcPr>
          <w:p>
            <w:pPr>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Emphasize</w:t>
            </w:r>
          </w:p>
        </w:tc>
        <w:tc>
          <w:tcPr>
            <w:tcW w:w="1280" w:type="dxa"/>
            <w:vAlign w:val="bottom"/>
          </w:tcPr>
          <w:p>
            <w:pPr>
              <w:ind w:left="80"/>
              <w:spacing w:after="0"/>
              <w:rPr>
                <w:sz w:val="20"/>
                <w:szCs w:val="20"/>
                <w:color w:val="auto"/>
              </w:rPr>
            </w:pPr>
            <w:r>
              <w:rPr>
                <w:rFonts w:ascii="Arial" w:cs="Arial" w:eastAsia="Arial" w:hAnsi="Arial"/>
                <w:sz w:val="18"/>
                <w:szCs w:val="18"/>
                <w:color w:val="auto"/>
              </w:rPr>
              <w:t>variable</w:t>
            </w:r>
          </w:p>
        </w:tc>
        <w:tc>
          <w:tcPr>
            <w:tcW w:w="1640" w:type="dxa"/>
            <w:vAlign w:val="bottom"/>
          </w:tcPr>
          <w:p>
            <w:pPr>
              <w:spacing w:after="0"/>
              <w:rPr>
                <w:sz w:val="20"/>
                <w:szCs w:val="20"/>
                <w:color w:val="auto"/>
              </w:rPr>
            </w:pPr>
            <w:r>
              <w:rPr>
                <w:rFonts w:ascii="Arial" w:cs="Arial" w:eastAsia="Arial" w:hAnsi="Arial"/>
                <w:sz w:val="18"/>
                <w:szCs w:val="18"/>
                <w:color w:val="auto"/>
              </w:rPr>
              <w:t>performance-based</w:t>
            </w:r>
          </w:p>
        </w:tc>
        <w:tc>
          <w:tcPr>
            <w:tcW w:w="4540" w:type="dxa"/>
            <w:vAlign w:val="bottom"/>
          </w:tcPr>
          <w:p>
            <w:pPr>
              <w:ind w:left="120"/>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No discounted stock options or stock appreciation</w:t>
            </w:r>
          </w:p>
        </w:tc>
      </w:tr>
      <w:tr>
        <w:trPr>
          <w:trHeight w:val="238"/>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compensation, including equity compensation, over</w:t>
            </w:r>
          </w:p>
        </w:tc>
        <w:tc>
          <w:tcPr>
            <w:tcW w:w="4540" w:type="dxa"/>
            <w:vAlign w:val="bottom"/>
          </w:tcPr>
          <w:p>
            <w:pPr>
              <w:ind w:left="320"/>
              <w:spacing w:after="0"/>
              <w:rPr>
                <w:sz w:val="20"/>
                <w:szCs w:val="20"/>
                <w:color w:val="auto"/>
              </w:rPr>
            </w:pPr>
            <w:r>
              <w:rPr>
                <w:rFonts w:ascii="Arial" w:cs="Arial" w:eastAsia="Arial" w:hAnsi="Arial"/>
                <w:sz w:val="18"/>
                <w:szCs w:val="18"/>
                <w:color w:val="auto"/>
              </w:rPr>
              <w:t>rights</w:t>
            </w:r>
          </w:p>
        </w:tc>
      </w:tr>
      <w:tr>
        <w:trPr>
          <w:trHeight w:val="256"/>
        </w:trPr>
        <w:tc>
          <w:tcPr>
            <w:tcW w:w="2900" w:type="dxa"/>
            <w:vAlign w:val="bottom"/>
            <w:gridSpan w:val="2"/>
          </w:tcPr>
          <w:p>
            <w:pPr>
              <w:ind w:left="220"/>
              <w:spacing w:after="0"/>
              <w:rPr>
                <w:sz w:val="20"/>
                <w:szCs w:val="20"/>
                <w:color w:val="auto"/>
              </w:rPr>
            </w:pPr>
            <w:r>
              <w:rPr>
                <w:rFonts w:ascii="Arial" w:cs="Arial" w:eastAsia="Arial" w:hAnsi="Arial"/>
                <w:sz w:val="18"/>
                <w:szCs w:val="18"/>
                <w:color w:val="auto"/>
              </w:rPr>
              <w:t>fixed compensation</w:t>
            </w:r>
          </w:p>
        </w:tc>
        <w:tc>
          <w:tcPr>
            <w:tcW w:w="1640" w:type="dxa"/>
            <w:vAlign w:val="bottom"/>
          </w:tcPr>
          <w:p>
            <w:pPr>
              <w:spacing w:after="0"/>
              <w:rPr>
                <w:sz w:val="22"/>
                <w:szCs w:val="22"/>
                <w:color w:val="auto"/>
              </w:rPr>
            </w:pPr>
          </w:p>
        </w:tc>
        <w:tc>
          <w:tcPr>
            <w:tcW w:w="4540" w:type="dxa"/>
            <w:vAlign w:val="bottom"/>
          </w:tcPr>
          <w:p>
            <w:pPr>
              <w:ind w:left="120"/>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No buyouts of stock options or stock appreciation</w:t>
            </w:r>
          </w:p>
        </w:tc>
      </w:tr>
      <w:tr>
        <w:trPr>
          <w:trHeight w:val="270"/>
        </w:trPr>
        <w:tc>
          <w:tcPr>
            <w:tcW w:w="4540" w:type="dxa"/>
            <w:vAlign w:val="bottom"/>
            <w:gridSpan w:val="3"/>
          </w:tcPr>
          <w:p>
            <w:pPr>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Align  payout  of  annual  incentives  to  drivers  of</w:t>
            </w:r>
          </w:p>
        </w:tc>
        <w:tc>
          <w:tcPr>
            <w:tcW w:w="4540" w:type="dxa"/>
            <w:vAlign w:val="bottom"/>
          </w:tcPr>
          <w:p>
            <w:pPr>
              <w:ind w:left="320"/>
              <w:spacing w:after="0"/>
              <w:rPr>
                <w:sz w:val="20"/>
                <w:szCs w:val="20"/>
                <w:color w:val="auto"/>
              </w:rPr>
            </w:pPr>
            <w:r>
              <w:rPr>
                <w:rFonts w:ascii="Arial" w:cs="Arial" w:eastAsia="Arial" w:hAnsi="Arial"/>
                <w:sz w:val="18"/>
                <w:szCs w:val="18"/>
                <w:color w:val="auto"/>
              </w:rPr>
              <w:t>rights without stockholder approval</w:t>
            </w:r>
          </w:p>
        </w:tc>
      </w:tr>
      <w:tr>
        <w:trPr>
          <w:trHeight w:val="221"/>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stockholder value, such as adjusted service gross</w:t>
            </w:r>
          </w:p>
        </w:tc>
        <w:tc>
          <w:tcPr>
            <w:tcW w:w="4540" w:type="dxa"/>
            <w:vAlign w:val="bottom"/>
          </w:tcPr>
          <w:p>
            <w:pPr>
              <w:ind w:left="120"/>
              <w:spacing w:after="0" w:line="207" w:lineRule="exact"/>
              <w:rPr>
                <w:sz w:val="20"/>
                <w:szCs w:val="20"/>
                <w:color w:val="auto"/>
              </w:rPr>
            </w:pPr>
            <w:r>
              <w:rPr>
                <w:rFonts w:ascii="MS PGothic" w:cs="MS PGothic" w:eastAsia="MS PGothic" w:hAnsi="MS PGothic"/>
                <w:sz w:val="18"/>
                <w:szCs w:val="18"/>
                <w:color w:val="395796"/>
                <w:w w:val="96"/>
              </w:rPr>
              <w:t>✘</w:t>
            </w:r>
            <w:r>
              <w:rPr>
                <w:rFonts w:ascii="Arial" w:cs="Arial" w:eastAsia="Arial" w:hAnsi="Arial"/>
                <w:sz w:val="18"/>
                <w:szCs w:val="18"/>
                <w:color w:val="auto"/>
                <w:w w:val="96"/>
              </w:rPr>
              <w:t xml:space="preserve"> No “liberal” definition of change of control in our equity</w:t>
            </w:r>
          </w:p>
        </w:tc>
      </w:tr>
      <w:tr>
        <w:trPr>
          <w:trHeight w:val="216"/>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profit,  adjusted  product  gross  profit,  recurring</w:t>
            </w:r>
          </w:p>
        </w:tc>
        <w:tc>
          <w:tcPr>
            <w:tcW w:w="4540" w:type="dxa"/>
            <w:vAlign w:val="bottom"/>
          </w:tcPr>
          <w:p>
            <w:pPr>
              <w:ind w:left="320"/>
              <w:spacing w:after="0"/>
              <w:rPr>
                <w:sz w:val="20"/>
                <w:szCs w:val="20"/>
                <w:color w:val="auto"/>
              </w:rPr>
            </w:pPr>
            <w:r>
              <w:rPr>
                <w:rFonts w:ascii="Arial" w:cs="Arial" w:eastAsia="Arial" w:hAnsi="Arial"/>
                <w:sz w:val="18"/>
                <w:szCs w:val="18"/>
                <w:color w:val="auto"/>
              </w:rPr>
              <w:t>plan</w:t>
            </w:r>
          </w:p>
        </w:tc>
      </w:tr>
      <w:tr>
        <w:trPr>
          <w:trHeight w:val="211"/>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operating expenses and adjusted earnings before</w:t>
            </w:r>
          </w:p>
        </w:tc>
        <w:tc>
          <w:tcPr>
            <w:tcW w:w="4540" w:type="dxa"/>
            <w:vAlign w:val="bottom"/>
          </w:tcPr>
          <w:p>
            <w:pPr>
              <w:spacing w:after="0"/>
              <w:rPr>
                <w:sz w:val="18"/>
                <w:szCs w:val="18"/>
                <w:color w:val="auto"/>
              </w:rPr>
            </w:pPr>
          </w:p>
        </w:tc>
      </w:tr>
      <w:tr>
        <w:trPr>
          <w:trHeight w:val="216"/>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interest,  taxes,  depreciation,  and  amortization</w:t>
            </w:r>
          </w:p>
        </w:tc>
        <w:tc>
          <w:tcPr>
            <w:tcW w:w="4540" w:type="dxa"/>
            <w:vAlign w:val="bottom"/>
          </w:tcPr>
          <w:p>
            <w:pPr>
              <w:spacing w:after="0"/>
              <w:rPr>
                <w:sz w:val="18"/>
                <w:szCs w:val="18"/>
                <w:color w:val="auto"/>
              </w:rPr>
            </w:pPr>
          </w:p>
        </w:tc>
      </w:tr>
      <w:tr>
        <w:trPr>
          <w:trHeight w:val="239"/>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(“EBITDA”), less capital expenditures</w:t>
            </w:r>
          </w:p>
        </w:tc>
        <w:tc>
          <w:tcPr>
            <w:tcW w:w="4540" w:type="dxa"/>
            <w:vAlign w:val="bottom"/>
          </w:tcPr>
          <w:p>
            <w:pPr>
              <w:spacing w:after="0"/>
              <w:rPr>
                <w:sz w:val="20"/>
                <w:szCs w:val="20"/>
                <w:color w:val="auto"/>
              </w:rPr>
            </w:pPr>
          </w:p>
        </w:tc>
      </w:tr>
      <w:tr>
        <w:trPr>
          <w:trHeight w:val="288"/>
        </w:trPr>
        <w:tc>
          <w:tcPr>
            <w:tcW w:w="4540" w:type="dxa"/>
            <w:vAlign w:val="bottom"/>
            <w:gridSpan w:val="3"/>
          </w:tcPr>
          <w:p>
            <w:pPr>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Balance  the  importance  of  achieving  long-term</w:t>
            </w:r>
          </w:p>
        </w:tc>
        <w:tc>
          <w:tcPr>
            <w:tcW w:w="4540" w:type="dxa"/>
            <w:vAlign w:val="bottom"/>
          </w:tcPr>
          <w:p>
            <w:pPr>
              <w:spacing w:after="0"/>
              <w:rPr>
                <w:sz w:val="24"/>
                <w:szCs w:val="24"/>
                <w:color w:val="auto"/>
              </w:rPr>
            </w:pPr>
          </w:p>
        </w:tc>
      </w:tr>
      <w:tr>
        <w:trPr>
          <w:trHeight w:val="216"/>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strategic priorities and critical short-term goals linked</w:t>
            </w:r>
          </w:p>
        </w:tc>
        <w:tc>
          <w:tcPr>
            <w:tcW w:w="4540" w:type="dxa"/>
            <w:vAlign w:val="bottom"/>
          </w:tcPr>
          <w:p>
            <w:pPr>
              <w:spacing w:after="0"/>
              <w:rPr>
                <w:sz w:val="18"/>
                <w:szCs w:val="18"/>
                <w:color w:val="auto"/>
              </w:rPr>
            </w:pPr>
          </w:p>
        </w:tc>
      </w:tr>
      <w:tr>
        <w:trPr>
          <w:trHeight w:val="239"/>
        </w:trPr>
        <w:tc>
          <w:tcPr>
            <w:tcW w:w="2900" w:type="dxa"/>
            <w:vAlign w:val="bottom"/>
            <w:gridSpan w:val="2"/>
          </w:tcPr>
          <w:p>
            <w:pPr>
              <w:ind w:left="220"/>
              <w:spacing w:after="0"/>
              <w:rPr>
                <w:sz w:val="20"/>
                <w:szCs w:val="20"/>
                <w:color w:val="auto"/>
              </w:rPr>
            </w:pPr>
            <w:r>
              <w:rPr>
                <w:rFonts w:ascii="Arial" w:cs="Arial" w:eastAsia="Arial" w:hAnsi="Arial"/>
                <w:sz w:val="18"/>
                <w:szCs w:val="18"/>
                <w:color w:val="auto"/>
              </w:rPr>
              <w:t>to long-term objectives</w:t>
            </w:r>
          </w:p>
        </w:tc>
        <w:tc>
          <w:tcPr>
            <w:tcW w:w="164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288"/>
        </w:trPr>
        <w:tc>
          <w:tcPr>
            <w:tcW w:w="4540" w:type="dxa"/>
            <w:vAlign w:val="bottom"/>
            <w:gridSpan w:val="3"/>
          </w:tcPr>
          <w:p>
            <w:pPr>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Align individual performance goals with our business</w:t>
            </w:r>
          </w:p>
        </w:tc>
        <w:tc>
          <w:tcPr>
            <w:tcW w:w="4540" w:type="dxa"/>
            <w:vAlign w:val="bottom"/>
          </w:tcPr>
          <w:p>
            <w:pPr>
              <w:spacing w:after="0"/>
              <w:rPr>
                <w:sz w:val="24"/>
                <w:szCs w:val="24"/>
                <w:color w:val="auto"/>
              </w:rPr>
            </w:pPr>
          </w:p>
        </w:tc>
      </w:tr>
      <w:tr>
        <w:trPr>
          <w:trHeight w:val="239"/>
        </w:trPr>
        <w:tc>
          <w:tcPr>
            <w:tcW w:w="1620" w:type="dxa"/>
            <w:vAlign w:val="bottom"/>
          </w:tcPr>
          <w:p>
            <w:pPr>
              <w:ind w:left="220"/>
              <w:spacing w:after="0"/>
              <w:rPr>
                <w:sz w:val="20"/>
                <w:szCs w:val="20"/>
                <w:color w:val="auto"/>
              </w:rPr>
            </w:pPr>
            <w:r>
              <w:rPr>
                <w:rFonts w:ascii="Arial" w:cs="Arial" w:eastAsia="Arial" w:hAnsi="Arial"/>
                <w:sz w:val="18"/>
                <w:szCs w:val="18"/>
                <w:color w:val="auto"/>
              </w:rPr>
              <w:t>strategy</w:t>
            </w:r>
          </w:p>
        </w:tc>
        <w:tc>
          <w:tcPr>
            <w:tcW w:w="1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288"/>
        </w:trPr>
        <w:tc>
          <w:tcPr>
            <w:tcW w:w="2900" w:type="dxa"/>
            <w:vAlign w:val="bottom"/>
            <w:gridSpan w:val="2"/>
          </w:tcPr>
          <w:p>
            <w:pPr>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Cap incentive payments</w:t>
            </w:r>
          </w:p>
        </w:tc>
        <w:tc>
          <w:tcPr>
            <w:tcW w:w="164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256"/>
        </w:trPr>
        <w:tc>
          <w:tcPr>
            <w:tcW w:w="4540" w:type="dxa"/>
            <w:vAlign w:val="bottom"/>
            <w:gridSpan w:val="3"/>
          </w:tcPr>
          <w:p>
            <w:pPr>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Benchmark compensation against that of a broad</w:t>
            </w:r>
          </w:p>
        </w:tc>
        <w:tc>
          <w:tcPr>
            <w:tcW w:w="4540" w:type="dxa"/>
            <w:vAlign w:val="bottom"/>
          </w:tcPr>
          <w:p>
            <w:pPr>
              <w:spacing w:after="0"/>
              <w:rPr>
                <w:sz w:val="22"/>
                <w:szCs w:val="22"/>
                <w:color w:val="auto"/>
              </w:rPr>
            </w:pPr>
          </w:p>
        </w:tc>
      </w:tr>
      <w:tr>
        <w:trPr>
          <w:trHeight w:val="239"/>
        </w:trPr>
        <w:tc>
          <w:tcPr>
            <w:tcW w:w="2900" w:type="dxa"/>
            <w:vAlign w:val="bottom"/>
            <w:gridSpan w:val="2"/>
          </w:tcPr>
          <w:p>
            <w:pPr>
              <w:ind w:left="220"/>
              <w:spacing w:after="0"/>
              <w:rPr>
                <w:sz w:val="20"/>
                <w:szCs w:val="20"/>
                <w:color w:val="auto"/>
              </w:rPr>
            </w:pPr>
            <w:r>
              <w:rPr>
                <w:rFonts w:ascii="Arial" w:cs="Arial" w:eastAsia="Arial" w:hAnsi="Arial"/>
                <w:sz w:val="18"/>
                <w:szCs w:val="18"/>
                <w:color w:val="auto"/>
              </w:rPr>
              <w:t>group of companies</w:t>
            </w:r>
          </w:p>
        </w:tc>
        <w:tc>
          <w:tcPr>
            <w:tcW w:w="164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288"/>
        </w:trPr>
        <w:tc>
          <w:tcPr>
            <w:tcW w:w="4540" w:type="dxa"/>
            <w:vAlign w:val="bottom"/>
            <w:gridSpan w:val="3"/>
          </w:tcPr>
          <w:p>
            <w:pPr>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Implement a policy to recover erroneously awarded</w:t>
            </w:r>
          </w:p>
        </w:tc>
        <w:tc>
          <w:tcPr>
            <w:tcW w:w="4540" w:type="dxa"/>
            <w:vAlign w:val="bottom"/>
          </w:tcPr>
          <w:p>
            <w:pPr>
              <w:spacing w:after="0"/>
              <w:rPr>
                <w:sz w:val="24"/>
                <w:szCs w:val="24"/>
                <w:color w:val="auto"/>
              </w:rPr>
            </w:pPr>
          </w:p>
        </w:tc>
      </w:tr>
      <w:tr>
        <w:trPr>
          <w:trHeight w:val="216"/>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incentive compensation from our executive officers,</w:t>
            </w:r>
          </w:p>
        </w:tc>
        <w:tc>
          <w:tcPr>
            <w:tcW w:w="4540" w:type="dxa"/>
            <w:vAlign w:val="bottom"/>
          </w:tcPr>
          <w:p>
            <w:pPr>
              <w:spacing w:after="0"/>
              <w:rPr>
                <w:sz w:val="18"/>
                <w:szCs w:val="18"/>
                <w:color w:val="auto"/>
              </w:rPr>
            </w:pPr>
          </w:p>
        </w:tc>
      </w:tr>
      <w:tr>
        <w:trPr>
          <w:trHeight w:val="239"/>
        </w:trPr>
        <w:tc>
          <w:tcPr>
            <w:tcW w:w="2900" w:type="dxa"/>
            <w:vAlign w:val="bottom"/>
            <w:gridSpan w:val="2"/>
          </w:tcPr>
          <w:p>
            <w:pPr>
              <w:ind w:left="220"/>
              <w:spacing w:after="0"/>
              <w:rPr>
                <w:sz w:val="20"/>
                <w:szCs w:val="20"/>
                <w:color w:val="auto"/>
              </w:rPr>
            </w:pPr>
            <w:r>
              <w:rPr>
                <w:rFonts w:ascii="Arial" w:cs="Arial" w:eastAsia="Arial" w:hAnsi="Arial"/>
                <w:sz w:val="18"/>
                <w:szCs w:val="18"/>
                <w:color w:val="auto"/>
                <w:w w:val="97"/>
              </w:rPr>
              <w:t>regardless of fault or responsibility</w:t>
            </w:r>
          </w:p>
        </w:tc>
        <w:tc>
          <w:tcPr>
            <w:tcW w:w="164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288"/>
        </w:trPr>
        <w:tc>
          <w:tcPr>
            <w:tcW w:w="4540" w:type="dxa"/>
            <w:vAlign w:val="bottom"/>
            <w:gridSpan w:val="3"/>
          </w:tcPr>
          <w:p>
            <w:pPr>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Impose minimum vesting periods of one year, with</w:t>
            </w:r>
          </w:p>
        </w:tc>
        <w:tc>
          <w:tcPr>
            <w:tcW w:w="4540" w:type="dxa"/>
            <w:vAlign w:val="bottom"/>
          </w:tcPr>
          <w:p>
            <w:pPr>
              <w:spacing w:after="0"/>
              <w:rPr>
                <w:sz w:val="24"/>
                <w:szCs w:val="24"/>
                <w:color w:val="auto"/>
              </w:rPr>
            </w:pPr>
          </w:p>
        </w:tc>
      </w:tr>
      <w:tr>
        <w:trPr>
          <w:trHeight w:val="239"/>
        </w:trPr>
        <w:tc>
          <w:tcPr>
            <w:tcW w:w="1620" w:type="dxa"/>
            <w:vAlign w:val="bottom"/>
          </w:tcPr>
          <w:p>
            <w:pPr>
              <w:ind w:left="220"/>
              <w:spacing w:after="0"/>
              <w:rPr>
                <w:sz w:val="20"/>
                <w:szCs w:val="20"/>
                <w:color w:val="auto"/>
              </w:rPr>
            </w:pPr>
            <w:r>
              <w:rPr>
                <w:rFonts w:ascii="Arial" w:cs="Arial" w:eastAsia="Arial" w:hAnsi="Arial"/>
                <w:sz w:val="18"/>
                <w:szCs w:val="18"/>
                <w:color w:val="auto"/>
              </w:rPr>
              <w:t>minor exceptions</w:t>
            </w:r>
          </w:p>
        </w:tc>
        <w:tc>
          <w:tcPr>
            <w:tcW w:w="1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274"/>
        </w:trPr>
        <w:tc>
          <w:tcPr>
            <w:tcW w:w="4540" w:type="dxa"/>
            <w:vAlign w:val="bottom"/>
            <w:gridSpan w:val="3"/>
          </w:tcPr>
          <w:p>
            <w:pPr>
              <w:spacing w:after="0" w:line="207" w:lineRule="exact"/>
              <w:rPr>
                <w:sz w:val="20"/>
                <w:szCs w:val="20"/>
                <w:color w:val="auto"/>
              </w:rPr>
            </w:pPr>
            <w:r>
              <w:rPr>
                <w:rFonts w:ascii="MS PGothic" w:cs="MS PGothic" w:eastAsia="MS PGothic" w:hAnsi="MS PGothic"/>
                <w:sz w:val="18"/>
                <w:szCs w:val="18"/>
                <w:color w:val="395796"/>
              </w:rPr>
              <w:t>✔</w:t>
            </w:r>
            <w:r>
              <w:rPr>
                <w:rFonts w:ascii="Arial" w:cs="Arial" w:eastAsia="Arial" w:hAnsi="Arial"/>
                <w:sz w:val="18"/>
                <w:szCs w:val="18"/>
                <w:color w:val="auto"/>
              </w:rPr>
              <w:t xml:space="preserve"> Require a “double trigger” for executives to receive</w:t>
            </w:r>
          </w:p>
        </w:tc>
        <w:tc>
          <w:tcPr>
            <w:tcW w:w="4540" w:type="dxa"/>
            <w:vAlign w:val="bottom"/>
          </w:tcPr>
          <w:p>
            <w:pPr>
              <w:spacing w:after="0"/>
              <w:rPr>
                <w:sz w:val="23"/>
                <w:szCs w:val="23"/>
                <w:color w:val="auto"/>
              </w:rPr>
            </w:pPr>
          </w:p>
        </w:tc>
      </w:tr>
      <w:tr>
        <w:trPr>
          <w:trHeight w:val="234"/>
        </w:trPr>
        <w:tc>
          <w:tcPr>
            <w:tcW w:w="4540" w:type="dxa"/>
            <w:vAlign w:val="bottom"/>
            <w:gridSpan w:val="3"/>
          </w:tcPr>
          <w:p>
            <w:pPr>
              <w:ind w:left="220"/>
              <w:spacing w:after="0"/>
              <w:rPr>
                <w:sz w:val="20"/>
                <w:szCs w:val="20"/>
                <w:color w:val="auto"/>
              </w:rPr>
            </w:pPr>
            <w:r>
              <w:rPr>
                <w:rFonts w:ascii="Arial" w:cs="Arial" w:eastAsia="Arial" w:hAnsi="Arial"/>
                <w:sz w:val="18"/>
                <w:szCs w:val="18"/>
                <w:color w:val="auto"/>
              </w:rPr>
              <w:t>cash severance and equity vesting upon a change of</w:t>
            </w:r>
          </w:p>
        </w:tc>
        <w:tc>
          <w:tcPr>
            <w:tcW w:w="4540" w:type="dxa"/>
            <w:vAlign w:val="bottom"/>
          </w:tcPr>
          <w:p>
            <w:pPr>
              <w:spacing w:after="0"/>
              <w:rPr>
                <w:sz w:val="20"/>
                <w:szCs w:val="20"/>
                <w:color w:val="auto"/>
              </w:rPr>
            </w:pPr>
          </w:p>
        </w:tc>
      </w:tr>
    </w:tbl>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39"/>
        </w:trPr>
        <w:tc>
          <w:tcPr>
            <w:tcW w:w="5740" w:type="dxa"/>
            <w:vAlign w:val="bottom"/>
            <w:gridSpan w:val="3"/>
          </w:tcPr>
          <w:p>
            <w:pPr>
              <w:ind w:left="340"/>
              <w:spacing w:after="0"/>
              <w:rPr>
                <w:sz w:val="20"/>
                <w:szCs w:val="20"/>
                <w:color w:val="auto"/>
              </w:rPr>
            </w:pPr>
            <w:r>
              <w:rPr>
                <w:rFonts w:ascii="Arial" w:cs="Arial" w:eastAsia="Arial" w:hAnsi="Arial"/>
                <w:sz w:val="18"/>
                <w:szCs w:val="18"/>
                <w:color w:val="auto"/>
              </w:rPr>
              <w:t>control</w:t>
            </w:r>
          </w:p>
        </w:tc>
        <w:tc>
          <w:tcPr>
            <w:tcW w:w="3120" w:type="dxa"/>
            <w:vAlign w:val="bottom"/>
          </w:tcPr>
          <w:p>
            <w:pPr>
              <w:spacing w:after="0"/>
              <w:rPr>
                <w:sz w:val="20"/>
                <w:szCs w:val="20"/>
                <w:color w:val="auto"/>
              </w:rPr>
            </w:pPr>
          </w:p>
        </w:tc>
      </w:tr>
      <w:tr>
        <w:trPr>
          <w:trHeight w:val="459"/>
        </w:trPr>
        <w:tc>
          <w:tcPr>
            <w:tcW w:w="5740" w:type="dxa"/>
            <w:vAlign w:val="bottom"/>
            <w:gridSpan w:val="3"/>
          </w:tcPr>
          <w:p>
            <w:pPr>
              <w:spacing w:after="0"/>
              <w:rPr>
                <w:sz w:val="20"/>
                <w:szCs w:val="20"/>
                <w:color w:val="auto"/>
              </w:rPr>
            </w:pPr>
            <w:r>
              <w:rPr>
                <w:rFonts w:ascii="Arial" w:cs="Arial" w:eastAsia="Arial" w:hAnsi="Arial"/>
                <w:sz w:val="18"/>
                <w:szCs w:val="18"/>
                <w:color w:val="auto"/>
              </w:rPr>
              <w:t>The mix of target compensation for our named executive officers for</w:t>
            </w:r>
          </w:p>
        </w:tc>
        <w:tc>
          <w:tcPr>
            <w:tcW w:w="3120" w:type="dxa"/>
            <w:vAlign w:val="bottom"/>
          </w:tcPr>
          <w:p>
            <w:pPr>
              <w:ind w:left="340"/>
              <w:spacing w:after="0"/>
              <w:rPr>
                <w:sz w:val="20"/>
                <w:szCs w:val="20"/>
                <w:color w:val="auto"/>
              </w:rPr>
            </w:pPr>
            <w:r>
              <w:rPr>
                <w:rFonts w:ascii="Arial" w:cs="Arial" w:eastAsia="Arial" w:hAnsi="Arial"/>
                <w:sz w:val="18"/>
                <w:szCs w:val="18"/>
                <w:b w:val="1"/>
                <w:bCs w:val="1"/>
                <w:color w:val="auto"/>
                <w:w w:val="91"/>
              </w:rPr>
              <w:t>Average NEO Compensation Mix</w:t>
            </w:r>
            <w:r>
              <w:rPr>
                <w:rFonts w:ascii="Arial" w:cs="Arial" w:eastAsia="Arial" w:hAnsi="Arial"/>
                <w:sz w:val="26"/>
                <w:szCs w:val="26"/>
                <w:b w:val="1"/>
                <w:bCs w:val="1"/>
                <w:color w:val="auto"/>
                <w:w w:val="91"/>
                <w:vertAlign w:val="superscript"/>
              </w:rPr>
              <w:t>(1)</w:t>
            </w: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2025  reflected  the  objectives  of  our  executive  compensation</w:t>
            </w:r>
          </w:p>
        </w:tc>
        <w:tc>
          <w:tcPr>
            <w:tcW w:w="3120" w:type="dxa"/>
            <w:vAlign w:val="bottom"/>
          </w:tcPr>
          <w:p>
            <w:pPr>
              <w:spacing w:after="0"/>
              <w:rPr>
                <w:sz w:val="18"/>
                <w:szCs w:val="18"/>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program,  as  shown  in  the  chart.  The  percentages  shown</w:t>
            </w:r>
          </w:p>
        </w:tc>
        <w:tc>
          <w:tcPr>
            <w:tcW w:w="3120" w:type="dxa"/>
            <w:vAlign w:val="bottom"/>
          </w:tcPr>
          <w:p>
            <w:pPr>
              <w:spacing w:after="0"/>
              <w:rPr>
                <w:sz w:val="18"/>
                <w:szCs w:val="18"/>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represent percentages of average total target compensation, not</w:t>
            </w:r>
          </w:p>
        </w:tc>
        <w:tc>
          <w:tcPr>
            <w:tcW w:w="3120" w:type="dxa"/>
            <w:vAlign w:val="bottom"/>
          </w:tcPr>
          <w:p>
            <w:pPr>
              <w:spacing w:after="0"/>
              <w:rPr>
                <w:sz w:val="18"/>
                <w:szCs w:val="18"/>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average  total  compensation,  and  as  a  result  do  not  match</w:t>
            </w:r>
          </w:p>
        </w:tc>
        <w:tc>
          <w:tcPr>
            <w:tcW w:w="3120" w:type="dxa"/>
            <w:vAlign w:val="bottom"/>
          </w:tcPr>
          <w:p>
            <w:pPr>
              <w:spacing w:after="0"/>
              <w:rPr>
                <w:sz w:val="18"/>
                <w:szCs w:val="18"/>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the percentages calculable from total compensation reflected in the</w:t>
            </w:r>
          </w:p>
        </w:tc>
        <w:tc>
          <w:tcPr>
            <w:tcW w:w="3120" w:type="dxa"/>
            <w:vAlign w:val="bottom"/>
          </w:tcPr>
          <w:p>
            <w:pPr>
              <w:spacing w:after="0"/>
              <w:rPr>
                <w:sz w:val="18"/>
                <w:szCs w:val="18"/>
                <w:color w:val="auto"/>
              </w:rPr>
            </w:pPr>
          </w:p>
        </w:tc>
      </w:tr>
      <w:tr>
        <w:trPr>
          <w:trHeight w:val="194"/>
        </w:trPr>
        <w:tc>
          <w:tcPr>
            <w:tcW w:w="5740" w:type="dxa"/>
            <w:vAlign w:val="bottom"/>
            <w:gridSpan w:val="3"/>
          </w:tcPr>
          <w:p>
            <w:pPr>
              <w:spacing w:after="0" w:line="195" w:lineRule="exact"/>
              <w:rPr>
                <w:sz w:val="20"/>
                <w:szCs w:val="20"/>
                <w:color w:val="auto"/>
              </w:rPr>
            </w:pPr>
            <w:r>
              <w:rPr>
                <w:rFonts w:ascii="Arial" w:cs="Arial" w:eastAsia="Arial" w:hAnsi="Arial"/>
                <w:sz w:val="18"/>
                <w:szCs w:val="18"/>
                <w:color w:val="auto"/>
              </w:rPr>
              <w:t xml:space="preserve">Summary Compensation Table on page </w:t>
            </w:r>
            <w:r>
              <w:rPr>
                <w:rFonts w:ascii="Arial" w:cs="Arial" w:eastAsia="Arial" w:hAnsi="Arial"/>
                <w:sz w:val="18"/>
                <w:szCs w:val="18"/>
                <w:color w:val="0000EE"/>
              </w:rPr>
              <w:t>16</w:t>
            </w:r>
            <w:r>
              <w:rPr>
                <w:rFonts w:ascii="Arial" w:cs="Arial" w:eastAsia="Arial" w:hAnsi="Arial"/>
                <w:sz w:val="18"/>
                <w:szCs w:val="18"/>
                <w:color w:val="auto"/>
              </w:rPr>
              <w:t>. For 2025, fixed pay</w:t>
            </w:r>
          </w:p>
        </w:tc>
        <w:tc>
          <w:tcPr>
            <w:tcW w:w="3120" w:type="dxa"/>
            <w:vAlign w:val="bottom"/>
          </w:tcPr>
          <w:p>
            <w:pPr>
              <w:spacing w:after="0"/>
              <w:rPr>
                <w:sz w:val="16"/>
                <w:szCs w:val="16"/>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18"/>
        </w:trPr>
        <w:tc>
          <w:tcPr>
            <w:tcW w:w="5740" w:type="dxa"/>
            <w:vAlign w:val="bottom"/>
            <w:gridSpan w:val="3"/>
          </w:tcPr>
          <w:p>
            <w:pPr>
              <w:spacing w:after="0"/>
              <w:rPr>
                <w:sz w:val="20"/>
                <w:szCs w:val="20"/>
                <w:color w:val="auto"/>
              </w:rPr>
            </w:pPr>
            <w:r>
              <w:rPr>
                <w:rFonts w:ascii="Arial" w:cs="Arial" w:eastAsia="Arial" w:hAnsi="Arial"/>
                <w:sz w:val="18"/>
                <w:szCs w:val="18"/>
                <w:color w:val="auto"/>
              </w:rPr>
              <w:t>represents  the  sum  of  salary,  holiday  bonus,  perquisites  and</w:t>
            </w:r>
          </w:p>
        </w:tc>
        <w:tc>
          <w:tcPr>
            <w:tcW w:w="3120" w:type="dxa"/>
            <w:vAlign w:val="bottom"/>
          </w:tcPr>
          <w:p>
            <w:pPr>
              <w:spacing w:after="0"/>
              <w:rPr>
                <w:sz w:val="18"/>
                <w:szCs w:val="18"/>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discretionary bonuses; variable (“at risk”) pay represents equity</w:t>
            </w:r>
          </w:p>
        </w:tc>
        <w:tc>
          <w:tcPr>
            <w:tcW w:w="3120" w:type="dxa"/>
            <w:vAlign w:val="bottom"/>
          </w:tcPr>
          <w:p>
            <w:pPr>
              <w:spacing w:after="0"/>
              <w:rPr>
                <w:sz w:val="18"/>
                <w:szCs w:val="18"/>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awards  and  non-equity incentive  plan  compensation. For  more</w:t>
            </w:r>
          </w:p>
        </w:tc>
        <w:tc>
          <w:tcPr>
            <w:tcW w:w="3120" w:type="dxa"/>
            <w:vAlign w:val="bottom"/>
          </w:tcPr>
          <w:p>
            <w:pPr>
              <w:spacing w:after="0"/>
              <w:rPr>
                <w:sz w:val="18"/>
                <w:szCs w:val="18"/>
                <w:color w:val="auto"/>
              </w:rPr>
            </w:pPr>
          </w:p>
        </w:tc>
      </w:tr>
      <w:tr>
        <w:trPr>
          <w:trHeight w:val="216"/>
        </w:trPr>
        <w:tc>
          <w:tcPr>
            <w:tcW w:w="5740" w:type="dxa"/>
            <w:vAlign w:val="bottom"/>
            <w:gridSpan w:val="3"/>
          </w:tcPr>
          <w:p>
            <w:pPr>
              <w:spacing w:after="0"/>
              <w:rPr>
                <w:sz w:val="20"/>
                <w:szCs w:val="20"/>
                <w:color w:val="auto"/>
              </w:rPr>
            </w:pPr>
            <w:r>
              <w:rPr>
                <w:rFonts w:ascii="Arial" w:cs="Arial" w:eastAsia="Arial" w:hAnsi="Arial"/>
                <w:sz w:val="18"/>
                <w:szCs w:val="18"/>
                <w:color w:val="auto"/>
              </w:rPr>
              <w:t>information on the compensation of our named executive officers for</w:t>
            </w:r>
          </w:p>
        </w:tc>
        <w:tc>
          <w:tcPr>
            <w:tcW w:w="3120" w:type="dxa"/>
            <w:vAlign w:val="bottom"/>
          </w:tcPr>
          <w:p>
            <w:pPr>
              <w:spacing w:after="0"/>
              <w:rPr>
                <w:sz w:val="18"/>
                <w:szCs w:val="18"/>
                <w:color w:val="auto"/>
              </w:rPr>
            </w:pPr>
          </w:p>
        </w:tc>
      </w:tr>
      <w:tr>
        <w:trPr>
          <w:trHeight w:val="239"/>
        </w:trPr>
        <w:tc>
          <w:tcPr>
            <w:tcW w:w="5740" w:type="dxa"/>
            <w:vAlign w:val="bottom"/>
            <w:gridSpan w:val="3"/>
          </w:tcPr>
          <w:p>
            <w:pPr>
              <w:spacing w:after="0"/>
              <w:rPr>
                <w:sz w:val="20"/>
                <w:szCs w:val="20"/>
                <w:color w:val="auto"/>
              </w:rPr>
            </w:pPr>
            <w:r>
              <w:rPr>
                <w:rFonts w:ascii="Arial" w:cs="Arial" w:eastAsia="Arial" w:hAnsi="Arial"/>
                <w:sz w:val="18"/>
                <w:szCs w:val="18"/>
                <w:color w:val="auto"/>
              </w:rPr>
              <w:t>2025, see “Proposal 2 – Non-Binding Say on Pay Vote”.</w:t>
            </w:r>
          </w:p>
        </w:tc>
        <w:tc>
          <w:tcPr>
            <w:tcW w:w="3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-1468120</wp:posOffset>
            </wp:positionV>
            <wp:extent cx="1577340" cy="129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77340" cy="1294765"/>
                    </a:xfrm>
                    <a:prstGeom prst="rect">
                      <a:avLst/>
                    </a:prstGeom>
                    <a:noFill/>
                  </pic:spPr>
                </pic:pic>
              </a:graphicData>
            </a:graphic>
          </wp:anchor>
        </w:drawing>
      </w:r>
    </w:p>
    <w:p>
      <w:pPr>
        <w:spacing w:after="0" w:line="129" w:lineRule="exact"/>
        <w:rPr>
          <w:sz w:val="20"/>
          <w:szCs w:val="20"/>
          <w:color w:val="auto"/>
        </w:rPr>
      </w:pPr>
    </w:p>
    <w:p>
      <w:pPr>
        <w:ind w:left="1060" w:hanging="352"/>
        <w:spacing w:after="0"/>
        <w:tabs>
          <w:tab w:leader="none" w:pos="10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chart presents information for the named executive officers employed by KVH as of December 31, 2025.</w:t>
      </w:r>
    </w:p>
    <w:p>
      <w:pPr>
        <w:sectPr>
          <w:pgSz w:w="11900" w:h="16838" w:orient="portrait"/>
          <w:cols w:equalWidth="0" w:num="1">
            <w:col w:w="10020"/>
          </w:cols>
          <w:pgMar w:left="580" w:top="97" w:right="1299" w:bottom="1440" w:gutter="0" w:footer="0" w:header="0"/>
          <w:type w:val="continuous"/>
        </w:sectPr>
      </w:pPr>
    </w:p>
    <w:p>
      <w:pPr>
        <w:spacing w:after="0" w:line="383" w:lineRule="exact"/>
        <w:rPr>
          <w:sz w:val="20"/>
          <w:szCs w:val="20"/>
          <w:color w:val="auto"/>
        </w:rPr>
      </w:pPr>
    </w:p>
    <w:p>
      <w:pPr>
        <w:ind w:left="960" w:hanging="252"/>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17" w:lineRule="exact"/>
        <w:rPr>
          <w:sz w:val="20"/>
          <w:szCs w:val="20"/>
          <w:color w:val="auto"/>
        </w:rPr>
      </w:pPr>
    </w:p>
    <w:p>
      <w:pPr>
        <w:ind w:left="7300"/>
        <w:spacing w:after="0"/>
        <w:rPr>
          <w:sz w:val="20"/>
          <w:szCs w:val="20"/>
          <w:color w:val="auto"/>
        </w:rPr>
      </w:pPr>
      <w:r>
        <w:rPr>
          <w:rFonts w:ascii="Arial" w:cs="Arial" w:eastAsia="Arial" w:hAnsi="Arial"/>
          <w:sz w:val="17"/>
          <w:szCs w:val="17"/>
          <w:b w:val="1"/>
          <w:bCs w:val="1"/>
          <w:color w:val="395796"/>
        </w:rPr>
        <w:t>PROXY STATEMENT SUMMARY</w:t>
      </w:r>
    </w:p>
    <w:p>
      <w:pPr>
        <w:spacing w:after="0" w:line="196"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As in prior years, in 2025 we had a non-equity incentive compensation plan intended to reward our named executive officers for achievement of both individual and corporate performance goals. In determining the cash bonus awarded to each named executive officer for 2025, individual performance goals represented 20% of each named executive officer’s target bonus opportunity while the corporate performance goals represented the remaining 80% of each named executive officer’s target bonus opportunity.</w:t>
      </w:r>
    </w:p>
    <w:p>
      <w:pPr>
        <w:spacing w:after="0" w:line="71" w:lineRule="exact"/>
        <w:rPr>
          <w:sz w:val="20"/>
          <w:szCs w:val="20"/>
          <w:color w:val="auto"/>
        </w:rPr>
      </w:pPr>
    </w:p>
    <w:p>
      <w:pPr>
        <w:jc w:val="both"/>
        <w:ind w:left="700" w:right="20"/>
        <w:spacing w:after="0" w:line="287" w:lineRule="auto"/>
        <w:rPr>
          <w:sz w:val="20"/>
          <w:szCs w:val="20"/>
          <w:color w:val="auto"/>
        </w:rPr>
      </w:pPr>
      <w:r>
        <w:rPr>
          <w:rFonts w:ascii="Arial" w:cs="Arial" w:eastAsia="Arial" w:hAnsi="Arial"/>
          <w:sz w:val="18"/>
          <w:szCs w:val="18"/>
          <w:color w:val="auto"/>
        </w:rPr>
        <w:t>The Compensation Committee determined that each of our named executive officers employed as of December 31, 2025 achieved 100% of their respective individual performance goals.</w:t>
      </w:r>
    </w:p>
    <w:p>
      <w:pPr>
        <w:spacing w:after="0" w:line="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When reviewing corporate performance goals, the Compensation Committee evaluates thresholds set for each of</w:t>
      </w:r>
    </w:p>
    <w:p>
      <w:pPr>
        <w:spacing w:after="0" w:line="27" w:lineRule="exact"/>
        <w:rPr>
          <w:sz w:val="20"/>
          <w:szCs w:val="20"/>
          <w:color w:val="auto"/>
        </w:rPr>
      </w:pPr>
    </w:p>
    <w:p>
      <w:pPr>
        <w:jc w:val="both"/>
        <w:ind w:left="700" w:firstLine="8"/>
        <w:spacing w:after="0" w:line="253" w:lineRule="auto"/>
        <w:tabs>
          <w:tab w:leader="none" w:pos="982"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service gross profit, (2) adjusted product gross profit, (3) recurring operating expenses and (4) adjusted EBITDA, less capital expenditures. In February 2026, after assessing our corporate performance for 2025, the Compensation Committee determined that the company exceeded its corporate performance goals for each of adjusted service gross profit and adjusted product gross profit, but did not meet its corporate performance goals for recurring operating expenses and adjusted EBITDA, less capital expenditures. As a result, the Compensation Committee determined that 33% of the corporate performance goals for 2025 were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73660</wp:posOffset>
            </wp:positionV>
            <wp:extent cx="5931535" cy="2339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31535" cy="2339975"/>
                    </a:xfrm>
                    <a:prstGeom prst="rect">
                      <a:avLst/>
                    </a:prstGeom>
                    <a:noFill/>
                  </pic:spPr>
                </pic:pic>
              </a:graphicData>
            </a:graphic>
          </wp:anchor>
        </w:drawing>
      </w:r>
    </w:p>
    <w:p>
      <w:pPr>
        <w:spacing w:after="0" w:line="97" w:lineRule="exact"/>
        <w:rPr>
          <w:sz w:val="20"/>
          <w:szCs w:val="20"/>
          <w:color w:val="auto"/>
        </w:rPr>
      </w:pPr>
    </w:p>
    <w:p>
      <w:pPr>
        <w:jc w:val="both"/>
        <w:ind w:left="820" w:right="60" w:hanging="107"/>
        <w:spacing w:after="0" w:line="259" w:lineRule="auto"/>
        <w:rPr>
          <w:sz w:val="20"/>
          <w:szCs w:val="20"/>
          <w:color w:val="auto"/>
        </w:rPr>
      </w:pPr>
      <w:r>
        <w:rPr>
          <w:rFonts w:ascii="Arial" w:cs="Arial" w:eastAsia="Arial" w:hAnsi="Arial"/>
          <w:sz w:val="33"/>
          <w:szCs w:val="33"/>
          <w:color w:val="auto"/>
          <w:vertAlign w:val="superscript"/>
        </w:rPr>
        <w:t>​</w:t>
      </w:r>
      <w:r>
        <w:rPr>
          <w:rFonts w:ascii="Arial" w:cs="Arial" w:eastAsia="Arial" w:hAnsi="Arial"/>
          <w:sz w:val="17"/>
          <w:szCs w:val="17"/>
          <w:color w:val="auto"/>
        </w:rPr>
        <w:t xml:space="preserve"> Despite the failure to meet the 2025 corporate performance goals, the Compensation Committee exercised its</w:t>
      </w:r>
      <w:r>
        <w:rPr>
          <w:rFonts w:ascii="Arial" w:cs="Arial" w:eastAsia="Arial" w:hAnsi="Arial"/>
          <w:sz w:val="33"/>
          <w:szCs w:val="33"/>
          <w:color w:val="auto"/>
          <w:vertAlign w:val="superscript"/>
        </w:rPr>
        <w:t>​</w:t>
      </w:r>
      <w:r>
        <w:rPr>
          <w:rFonts w:ascii="Arial" w:cs="Arial" w:eastAsia="Arial" w:hAnsi="Arial"/>
          <w:sz w:val="17"/>
          <w:szCs w:val="17"/>
          <w:color w:val="auto"/>
        </w:rPr>
        <w:t xml:space="preserve"> discretion to award each of our named executive officers a full target bonus for 2025. As a result, our chief executive officer received a cash bonus equivalent to 90% of his base salary and each of our other named executive officers employed as of December 31, 2025, received a cash bonus equivalent to 50% of their respective base salaries. In determining the bonus to be awarded to each named executive officer, the Compensation Committee considered not only level of achievement against the corporate and individual performance targets for 2025, but also considered certain other achievements by the company during 2025. Such achievements included the successful sale of the company’s property in Middletown, Rhode Island, which generated meaning liquidity for the company; the completion of the acquisition of a maritime satellite service business of a satellite services provider operating in the Asia-Pacific region, which expanded the company’s customer base and geographic reach in the region; strong growth in LEO service revenue; and the achievement of three consecutive quarters of sequential service revenue growth, which represented a meaningful inflection point in the company’s strategic transition to a LEO-driven services business. As a result, the Compensation Committee deemed each named executive officer had achieved 100% of his or her target bonus opportunity with respect to corporate performance. In reaching this determination, the Compensation Committee recognized the importance of retaining key personnel in a challenging and competitive environment and recognized the efforts of each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228600</wp:posOffset>
            </wp:positionV>
            <wp:extent cx="4208780" cy="2305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08780" cy="230568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380"/>
        <w:spacing w:after="0"/>
        <w:rPr>
          <w:sz w:val="20"/>
          <w:szCs w:val="20"/>
          <w:color w:val="auto"/>
        </w:rPr>
      </w:pPr>
      <w:r>
        <w:rPr>
          <w:rFonts w:ascii="Arial" w:cs="Arial" w:eastAsia="Arial" w:hAnsi="Arial"/>
          <w:sz w:val="17"/>
          <w:szCs w:val="17"/>
          <w:color w:val="395796"/>
        </w:rPr>
        <w:t xml:space="preserve">KVH Industries, Inc. 2026 Proxy Statement  </w:t>
      </w:r>
      <w:r>
        <w:rPr>
          <w:rFonts w:ascii="Arial" w:cs="Arial" w:eastAsia="Arial" w:hAnsi="Arial"/>
          <w:sz w:val="17"/>
          <w:szCs w:val="17"/>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1" w:name="page12"/>
    <w:bookmarkEnd w:id="11"/>
    <w:p>
      <w:pPr>
        <w:spacing w:after="0" w:line="199" w:lineRule="auto"/>
        <w:framePr w:w="3680" w:h="163" w:wrap="auto" w:vAnchor="page" w:hAnchor="page" w:x="1240" w:y="14031"/>
        <w:rPr>
          <w:rFonts w:ascii="Arial" w:cs="Arial" w:eastAsia="Arial" w:hAnsi="Arial"/>
          <w:sz w:val="17"/>
          <w:szCs w:val="17"/>
          <w:color w:val="auto"/>
        </w:rPr>
      </w:pPr>
      <w:r>
        <w:rPr>
          <w:rFonts w:ascii="Arial" w:cs="Arial" w:eastAsia="Arial" w:hAnsi="Arial"/>
          <w:sz w:val="17"/>
          <w:szCs w:val="17"/>
          <w:color w:val="auto"/>
        </w:rPr>
        <w:t xml:space="preserve">5  </w:t>
      </w:r>
      <w:r>
        <w:rPr>
          <w:rFonts w:ascii="Arial" w:cs="Arial" w:eastAsia="Arial" w:hAnsi="Arial"/>
          <w:sz w:val="17"/>
          <w:szCs w:val="17"/>
          <w:color w:val="395796"/>
        </w:rPr>
        <w:t>KVH Industries, Inc. 2026 Proxy Statement</w:t>
      </w:r>
    </w:p>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435610</wp:posOffset>
            </wp:positionH>
            <wp:positionV relativeFrom="paragraph">
              <wp:posOffset>386080</wp:posOffset>
            </wp:positionV>
            <wp:extent cx="102870" cy="5822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58229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386080</wp:posOffset>
            </wp:positionV>
            <wp:extent cx="102235" cy="5822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235" cy="58229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2198370</wp:posOffset>
            </wp:positionV>
            <wp:extent cx="23114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1140" cy="24003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3775710</wp:posOffset>
            </wp:positionV>
            <wp:extent cx="145415"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5415" cy="24003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4392930</wp:posOffset>
            </wp:positionV>
            <wp:extent cx="26543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5430" cy="20574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5010150</wp:posOffset>
            </wp:positionV>
            <wp:extent cx="222885" cy="222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2885" cy="222885"/>
                    </a:xfrm>
                    <a:prstGeom prst="rect">
                      <a:avLst/>
                    </a:prstGeom>
                    <a:noFill/>
                  </pic:spPr>
                </pic:pic>
              </a:graphicData>
            </a:graphic>
          </wp:anchor>
        </w:drawing>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45"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0"/>
        </w:trPr>
        <w:tc>
          <w:tcPr>
            <w:tcW w:w="700" w:type="dxa"/>
            <w:vAlign w:val="bottom"/>
          </w:tcPr>
          <w:p>
            <w:pPr>
              <w:spacing w:after="0" w:line="20" w:lineRule="exact"/>
              <w:rPr>
                <w:sz w:val="1"/>
                <w:szCs w:val="1"/>
                <w:color w:val="auto"/>
              </w:rPr>
            </w:pPr>
          </w:p>
        </w:tc>
        <w:tc>
          <w:tcPr>
            <w:tcW w:w="120" w:type="dxa"/>
            <w:vAlign w:val="bottom"/>
          </w:tcPr>
          <w:p>
            <w:pPr>
              <w:spacing w:after="0"/>
              <w:rPr>
                <w:sz w:val="20"/>
                <w:szCs w:val="20"/>
                <w:color w:val="auto"/>
              </w:rPr>
            </w:pPr>
            <w:r>
              <w:rPr>
                <w:rFonts w:ascii="Arial" w:cs="Arial" w:eastAsia="Arial" w:hAnsi="Arial"/>
                <w:sz w:val="32"/>
                <w:szCs w:val="32"/>
                <w:b w:val="1"/>
                <w:bCs w:val="1"/>
                <w:color w:val="FFFFFF"/>
              </w:rPr>
              <w:t>​</w:t>
            </w:r>
          </w:p>
        </w:tc>
        <w:tc>
          <w:tcPr>
            <w:tcW w:w="7840" w:type="dxa"/>
            <w:vAlign w:val="bottom"/>
            <w:gridSpan w:val="10"/>
            <w:shd w:val="clear" w:color="auto" w:fill="395796"/>
          </w:tcPr>
          <w:p>
            <w:pPr>
              <w:spacing w:after="0"/>
              <w:rPr>
                <w:sz w:val="20"/>
                <w:szCs w:val="20"/>
                <w:color w:val="auto"/>
              </w:rPr>
            </w:pPr>
            <w:r>
              <w:rPr>
                <w:rFonts w:ascii="Arial" w:cs="Arial" w:eastAsia="Arial" w:hAnsi="Arial"/>
                <w:sz w:val="32"/>
                <w:szCs w:val="32"/>
                <w:b w:val="1"/>
                <w:bCs w:val="1"/>
                <w:color w:val="FFFFFF"/>
              </w:rPr>
              <w:t>QUESTIONS AND ANSWERS ABOUT THE ANNUAL</w:t>
            </w:r>
          </w:p>
        </w:tc>
        <w:tc>
          <w:tcPr>
            <w:tcW w:w="820" w:type="dxa"/>
            <w:vAlign w:val="bottom"/>
            <w:shd w:val="clear" w:color="auto" w:fill="395796"/>
          </w:tcPr>
          <w:p>
            <w:pPr>
              <w:spacing w:after="0" w:line="20" w:lineRule="exact"/>
              <w:rPr>
                <w:sz w:val="1"/>
                <w:szCs w:val="1"/>
                <w:color w:val="auto"/>
              </w:rPr>
            </w:pPr>
          </w:p>
        </w:tc>
        <w:tc>
          <w:tcPr>
            <w:tcW w:w="400" w:type="dxa"/>
            <w:vAlign w:val="bottom"/>
            <w:shd w:val="clear" w:color="auto" w:fill="395796"/>
          </w:tcPr>
          <w:p>
            <w:pPr>
              <w:spacing w:after="0" w:line="20" w:lineRule="exact"/>
              <w:rPr>
                <w:sz w:val="1"/>
                <w:szCs w:val="1"/>
                <w:color w:val="auto"/>
              </w:rPr>
            </w:pPr>
          </w:p>
        </w:tc>
        <w:tc>
          <w:tcPr>
            <w:tcW w:w="140" w:type="dxa"/>
            <w:vAlign w:val="bottom"/>
            <w:tcBorders>
              <w:right w:val="single" w:sz="8" w:color="395796"/>
            </w:tcBorders>
          </w:tcPr>
          <w:p>
            <w:pPr>
              <w:jc w:val="right"/>
              <w:spacing w:after="0"/>
              <w:rPr>
                <w:sz w:val="20"/>
                <w:szCs w:val="20"/>
                <w:color w:val="auto"/>
              </w:rPr>
            </w:pPr>
            <w:r>
              <w:rPr>
                <w:rFonts w:ascii="Arial" w:cs="Arial" w:eastAsia="Arial" w:hAnsi="Arial"/>
                <w:sz w:val="32"/>
                <w:szCs w:val="32"/>
                <w:b w:val="1"/>
                <w:bCs w:val="1"/>
                <w:color w:val="FFFFFF"/>
              </w:rPr>
              <w:t>​</w:t>
            </w: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80" w:type="dxa"/>
            <w:vAlign w:val="bottom"/>
            <w:gridSpan w:val="8"/>
            <w:shd w:val="clear" w:color="auto" w:fill="395796"/>
          </w:tcPr>
          <w:p>
            <w:pPr>
              <w:spacing w:after="0"/>
              <w:rPr>
                <w:sz w:val="20"/>
                <w:szCs w:val="20"/>
                <w:color w:val="auto"/>
              </w:rPr>
            </w:pPr>
            <w:r>
              <w:rPr>
                <w:rFonts w:ascii="Arial" w:cs="Arial" w:eastAsia="Arial" w:hAnsi="Arial"/>
                <w:sz w:val="32"/>
                <w:szCs w:val="32"/>
                <w:b w:val="1"/>
                <w:bCs w:val="1"/>
                <w:color w:val="FFFFFF"/>
                <w:w w:val="99"/>
              </w:rPr>
              <w:t>MEETING OF STOCKHOLDERS AND VOTING</w:t>
            </w:r>
            <w:r>
              <w:rPr>
                <w:rFonts w:ascii="Arial" w:cs="Arial" w:eastAsia="Arial" w:hAnsi="Arial"/>
                <w:sz w:val="17"/>
                <w:szCs w:val="17"/>
                <w:color w:val="FFFFFF"/>
                <w:w w:val="99"/>
              </w:rPr>
              <w:t>​</w:t>
            </w:r>
          </w:p>
        </w:tc>
        <w:tc>
          <w:tcPr>
            <w:tcW w:w="620" w:type="dxa"/>
            <w:vAlign w:val="bottom"/>
            <w:shd w:val="clear" w:color="auto" w:fill="395796"/>
          </w:tcPr>
          <w:p>
            <w:pPr>
              <w:spacing w:after="0" w:line="20" w:lineRule="exact"/>
              <w:rPr>
                <w:sz w:val="1"/>
                <w:szCs w:val="1"/>
                <w:color w:val="auto"/>
              </w:rPr>
            </w:pPr>
          </w:p>
        </w:tc>
        <w:tc>
          <w:tcPr>
            <w:tcW w:w="340" w:type="dxa"/>
            <w:vAlign w:val="bottom"/>
            <w:shd w:val="clear" w:color="auto" w:fill="395796"/>
          </w:tcPr>
          <w:p>
            <w:pPr>
              <w:spacing w:after="0" w:line="20" w:lineRule="exact"/>
              <w:rPr>
                <w:sz w:val="1"/>
                <w:szCs w:val="1"/>
                <w:color w:val="auto"/>
              </w:rPr>
            </w:pPr>
          </w:p>
        </w:tc>
        <w:tc>
          <w:tcPr>
            <w:tcW w:w="820" w:type="dxa"/>
            <w:vAlign w:val="bottom"/>
            <w:shd w:val="clear" w:color="auto" w:fill="395796"/>
          </w:tcPr>
          <w:p>
            <w:pPr>
              <w:spacing w:after="0" w:line="20" w:lineRule="exact"/>
              <w:rPr>
                <w:sz w:val="1"/>
                <w:szCs w:val="1"/>
                <w:color w:val="auto"/>
              </w:rPr>
            </w:pPr>
          </w:p>
        </w:tc>
        <w:tc>
          <w:tcPr>
            <w:tcW w:w="400" w:type="dxa"/>
            <w:vAlign w:val="bottom"/>
            <w:shd w:val="clear" w:color="auto" w:fill="395796"/>
          </w:tcPr>
          <w:p>
            <w:pPr>
              <w:spacing w:after="0" w:line="20" w:lineRule="exact"/>
              <w:rPr>
                <w:sz w:val="1"/>
                <w:szCs w:val="1"/>
                <w:color w:val="auto"/>
              </w:rPr>
            </w:pPr>
          </w:p>
        </w:tc>
        <w:tc>
          <w:tcPr>
            <w:tcW w:w="140" w:type="dxa"/>
            <w:vAlign w:val="bottom"/>
            <w:tcBorders>
              <w:right w:val="single" w:sz="8" w:color="395796"/>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What is the purpose of the annual meeting?</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date, your shares were not held in your name but rather</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were held in an account at a broker, dealer, bank or other</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At  the  annual  meeting,  we  will  submit  the  following</w:t>
            </w: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nominee (commonly referred to as being held in “street</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rPr>
              <w:t>proposals to our stockholders:</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name”), you are considered the beneficial owner of those</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740" w:type="dxa"/>
            <w:vAlign w:val="bottom"/>
            <w:gridSpan w:val="2"/>
            <w:vMerge w:val="restart"/>
          </w:tcPr>
          <w:p>
            <w:pPr>
              <w:spacing w:after="0"/>
              <w:rPr>
                <w:sz w:val="20"/>
                <w:szCs w:val="20"/>
                <w:color w:val="auto"/>
              </w:rPr>
            </w:pPr>
            <w:r>
              <w:rPr>
                <w:rFonts w:ascii="Arial" w:cs="Arial" w:eastAsia="Arial" w:hAnsi="Arial"/>
                <w:sz w:val="18"/>
                <w:szCs w:val="18"/>
                <w:b w:val="1"/>
                <w:bCs w:val="1"/>
                <w:color w:val="395796"/>
                <w:w w:val="93"/>
              </w:rPr>
              <w:t>Proposal</w:t>
            </w:r>
            <w:r>
              <w:rPr>
                <w:rFonts w:ascii="Arial" w:cs="Arial" w:eastAsia="Arial" w:hAnsi="Arial"/>
                <w:sz w:val="18"/>
                <w:szCs w:val="18"/>
                <w:color w:val="000000"/>
                <w:w w:val="93"/>
              </w:rPr>
              <w:t>​</w:t>
            </w:r>
          </w:p>
        </w:tc>
        <w:tc>
          <w:tcPr>
            <w:tcW w:w="39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395796"/>
              </w:rPr>
              <w:t>1:</w:t>
            </w:r>
            <w:r>
              <w:rPr>
                <w:rFonts w:ascii="Arial" w:cs="Arial" w:eastAsia="Arial" w:hAnsi="Arial"/>
                <w:sz w:val="18"/>
                <w:szCs w:val="18"/>
                <w:color w:val="000000"/>
              </w:rPr>
              <w:t>​ ​ To elect two Class III directors to a three-​</w:t>
            </w: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shares. A beneficial owner should follow the instructions</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3940" w:type="dxa"/>
            <w:vAlign w:val="bottom"/>
            <w:gridSpan w:val="4"/>
            <w:vMerge w:val="continue"/>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of his, her or its broker, dealer, bank or other nominee in</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20" w:lineRule="exact"/>
              <w:rPr>
                <w:sz w:val="1"/>
                <w:szCs w:val="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3440" w:type="dxa"/>
            <w:vAlign w:val="bottom"/>
          </w:tcPr>
          <w:p>
            <w:pPr>
              <w:ind w:left="20"/>
              <w:spacing w:after="0"/>
              <w:rPr>
                <w:sz w:val="20"/>
                <w:szCs w:val="20"/>
                <w:color w:val="auto"/>
              </w:rPr>
            </w:pPr>
            <w:r>
              <w:rPr>
                <w:rFonts w:ascii="Arial" w:cs="Arial" w:eastAsia="Arial" w:hAnsi="Arial"/>
                <w:sz w:val="18"/>
                <w:szCs w:val="18"/>
                <w:color w:val="auto"/>
              </w:rPr>
              <w:t>year term.</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320" w:type="dxa"/>
            <w:vAlign w:val="bottom"/>
            <w:gridSpan w:val="3"/>
          </w:tcPr>
          <w:p>
            <w:pPr>
              <w:ind w:left="80"/>
              <w:spacing w:after="0"/>
              <w:rPr>
                <w:sz w:val="20"/>
                <w:szCs w:val="20"/>
                <w:color w:val="auto"/>
              </w:rPr>
            </w:pPr>
            <w:r>
              <w:rPr>
                <w:rFonts w:ascii="Arial" w:cs="Arial" w:eastAsia="Arial" w:hAnsi="Arial"/>
                <w:sz w:val="18"/>
                <w:szCs w:val="18"/>
                <w:color w:val="auto"/>
              </w:rPr>
              <w:t>order to vote any shares.</w:t>
            </w: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395796"/>
                <w:w w:val="91"/>
              </w:rPr>
              <w:t>Proposal 2:</w:t>
            </w:r>
          </w:p>
        </w:tc>
        <w:tc>
          <w:tcPr>
            <w:tcW w:w="200" w:type="dxa"/>
            <w:vAlign w:val="bottom"/>
          </w:tcPr>
          <w:p>
            <w:pPr>
              <w:spacing w:after="0" w:line="20" w:lineRule="exact"/>
              <w:rPr>
                <w:sz w:val="1"/>
                <w:szCs w:val="1"/>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To approve, on an advisory (non-binding)</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gridSpan w:val="5"/>
          </w:tcPr>
          <w:p>
            <w:pPr>
              <w:ind w:left="520"/>
              <w:spacing w:after="0"/>
              <w:rPr>
                <w:sz w:val="20"/>
                <w:szCs w:val="20"/>
                <w:color w:val="auto"/>
              </w:rPr>
            </w:pPr>
            <w:r>
              <w:rPr>
                <w:rFonts w:ascii="Arial" w:cs="Arial" w:eastAsia="Arial" w:hAnsi="Arial"/>
                <w:sz w:val="18"/>
                <w:szCs w:val="18"/>
                <w:color w:val="auto"/>
              </w:rPr>
              <w:t>By signing and returning the proxy card</w:t>
            </w:r>
          </w:p>
        </w:tc>
        <w:tc>
          <w:tcPr>
            <w:tcW w:w="1240" w:type="dxa"/>
            <w:vAlign w:val="bottom"/>
            <w:gridSpan w:val="3"/>
          </w:tcPr>
          <w:p>
            <w:pPr>
              <w:jc w:val="right"/>
              <w:ind w:right="720"/>
              <w:spacing w:after="0"/>
              <w:rPr>
                <w:sz w:val="20"/>
                <w:szCs w:val="20"/>
                <w:color w:val="auto"/>
              </w:rPr>
            </w:pPr>
            <w:r>
              <w:rPr>
                <w:rFonts w:ascii="Arial" w:cs="Arial" w:eastAsia="Arial" w:hAnsi="Arial"/>
                <w:sz w:val="18"/>
                <w:szCs w:val="18"/>
                <w:color w:val="auto"/>
              </w:rPr>
              <w:t>in the</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basis,  the  compensation  of  our  named</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ind w:left="520"/>
              <w:spacing w:after="0"/>
              <w:rPr>
                <w:sz w:val="20"/>
                <w:szCs w:val="20"/>
                <w:color w:val="auto"/>
              </w:rPr>
            </w:pPr>
            <w:r>
              <w:rPr>
                <w:rFonts w:ascii="Arial" w:cs="Arial" w:eastAsia="Arial" w:hAnsi="Arial"/>
                <w:sz w:val="18"/>
                <w:szCs w:val="18"/>
                <w:color w:val="auto"/>
              </w:rPr>
              <w:t>enclosed</w:t>
            </w:r>
          </w:p>
        </w:tc>
        <w:tc>
          <w:tcPr>
            <w:tcW w:w="900" w:type="dxa"/>
            <w:vAlign w:val="bottom"/>
          </w:tcPr>
          <w:p>
            <w:pPr>
              <w:ind w:left="100"/>
              <w:spacing w:after="0"/>
              <w:rPr>
                <w:sz w:val="20"/>
                <w:szCs w:val="20"/>
                <w:color w:val="auto"/>
              </w:rPr>
            </w:pPr>
            <w:r>
              <w:rPr>
                <w:rFonts w:ascii="Arial" w:cs="Arial" w:eastAsia="Arial" w:hAnsi="Arial"/>
                <w:sz w:val="18"/>
                <w:szCs w:val="18"/>
                <w:color w:val="auto"/>
                <w:w w:val="99"/>
              </w:rPr>
              <w:t>envelope,</w:t>
            </w:r>
          </w:p>
        </w:tc>
        <w:tc>
          <w:tcPr>
            <w:tcW w:w="620" w:type="dxa"/>
            <w:vAlign w:val="bottom"/>
          </w:tcPr>
          <w:p>
            <w:pPr>
              <w:jc w:val="center"/>
              <w:spacing w:after="0"/>
              <w:rPr>
                <w:sz w:val="20"/>
                <w:szCs w:val="20"/>
                <w:color w:val="auto"/>
              </w:rPr>
            </w:pPr>
            <w:r>
              <w:rPr>
                <w:rFonts w:ascii="Arial" w:cs="Arial" w:eastAsia="Arial" w:hAnsi="Arial"/>
                <w:sz w:val="18"/>
                <w:szCs w:val="18"/>
                <w:color w:val="auto"/>
                <w:w w:val="96"/>
              </w:rPr>
              <w:t>you</w:t>
            </w:r>
          </w:p>
        </w:tc>
        <w:tc>
          <w:tcPr>
            <w:tcW w:w="340" w:type="dxa"/>
            <w:vAlign w:val="bottom"/>
          </w:tcPr>
          <w:p>
            <w:pPr>
              <w:spacing w:after="0"/>
              <w:rPr>
                <w:sz w:val="20"/>
                <w:szCs w:val="20"/>
                <w:color w:val="auto"/>
              </w:rPr>
            </w:pPr>
            <w:r>
              <w:rPr>
                <w:rFonts w:ascii="Arial" w:cs="Arial" w:eastAsia="Arial" w:hAnsi="Arial"/>
                <w:sz w:val="18"/>
                <w:szCs w:val="18"/>
                <w:color w:val="auto"/>
              </w:rPr>
              <w:t>are</w:t>
            </w:r>
          </w:p>
        </w:tc>
        <w:tc>
          <w:tcPr>
            <w:tcW w:w="820" w:type="dxa"/>
            <w:vAlign w:val="bottom"/>
          </w:tcPr>
          <w:p>
            <w:pPr>
              <w:ind w:left="120"/>
              <w:spacing w:after="0"/>
              <w:rPr>
                <w:sz w:val="20"/>
                <w:szCs w:val="20"/>
                <w:color w:val="auto"/>
              </w:rPr>
            </w:pPr>
            <w:r>
              <w:rPr>
                <w:rFonts w:ascii="Arial" w:cs="Arial" w:eastAsia="Arial" w:hAnsi="Arial"/>
                <w:sz w:val="18"/>
                <w:szCs w:val="18"/>
                <w:color w:val="auto"/>
                <w:w w:val="99"/>
              </w:rPr>
              <w:t>enabling</w:t>
            </w:r>
          </w:p>
        </w:tc>
        <w:tc>
          <w:tcPr>
            <w:tcW w:w="1240" w:type="dxa"/>
            <w:vAlign w:val="bottom"/>
            <w:gridSpan w:val="3"/>
          </w:tcPr>
          <w:p>
            <w:pPr>
              <w:jc w:val="right"/>
              <w:ind w:right="700"/>
              <w:spacing w:after="0"/>
              <w:rPr>
                <w:sz w:val="20"/>
                <w:szCs w:val="20"/>
                <w:color w:val="auto"/>
              </w:rPr>
            </w:pPr>
            <w:r>
              <w:rPr>
                <w:rFonts w:ascii="Arial" w:cs="Arial" w:eastAsia="Arial" w:hAnsi="Arial"/>
                <w:sz w:val="18"/>
                <w:szCs w:val="18"/>
                <w:color w:val="auto"/>
              </w:rPr>
              <w:t>each</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20" w:lineRule="exact"/>
              <w:rPr>
                <w:sz w:val="1"/>
                <w:szCs w:val="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3440" w:type="dxa"/>
            <w:vAlign w:val="bottom"/>
          </w:tcPr>
          <w:p>
            <w:pPr>
              <w:ind w:left="20"/>
              <w:spacing w:after="0"/>
              <w:rPr>
                <w:sz w:val="20"/>
                <w:szCs w:val="20"/>
                <w:color w:val="auto"/>
              </w:rPr>
            </w:pPr>
            <w:r>
              <w:rPr>
                <w:rFonts w:ascii="Arial" w:cs="Arial" w:eastAsia="Arial" w:hAnsi="Arial"/>
                <w:sz w:val="18"/>
                <w:szCs w:val="18"/>
                <w:color w:val="auto"/>
              </w:rPr>
              <w:t>executive officers.</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individual named on the proxy card (known as a “proxy”)</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395796"/>
                <w:w w:val="91"/>
              </w:rPr>
              <w:t>Proposal 3:</w:t>
            </w:r>
          </w:p>
        </w:tc>
        <w:tc>
          <w:tcPr>
            <w:tcW w:w="200" w:type="dxa"/>
            <w:vAlign w:val="bottom"/>
          </w:tcPr>
          <w:p>
            <w:pPr>
              <w:spacing w:after="0" w:line="20" w:lineRule="exact"/>
              <w:rPr>
                <w:sz w:val="1"/>
                <w:szCs w:val="1"/>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w w:val="97"/>
              </w:rPr>
              <w:t>To ratify the appointment of Grant Thornton</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to vote your shares at the meeting in the manner you</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LLP as our independent registered public</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indicate. We encourage you to sign and return the proxy</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accounting firm.</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card even if you plan to attend the meeting. In this way,</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 xml:space="preserve">Our board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our nominees</w:t>
            </w: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your shares will be voted even if you are unable to attend</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rPr>
              <w:t xml:space="preserve">for director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other proposals.</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the meeting. If you received more than one proxy card, it</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Our board of directors does not intend to present to the</w:t>
            </w: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is an indication</w:t>
            </w:r>
          </w:p>
        </w:tc>
        <w:tc>
          <w:tcPr>
            <w:tcW w:w="900" w:type="dxa"/>
            <w:vAlign w:val="bottom"/>
          </w:tcPr>
          <w:p>
            <w:pPr>
              <w:ind w:left="60"/>
              <w:spacing w:after="0"/>
              <w:rPr>
                <w:sz w:val="20"/>
                <w:szCs w:val="20"/>
                <w:color w:val="auto"/>
              </w:rPr>
            </w:pPr>
            <w:r>
              <w:rPr>
                <w:rFonts w:ascii="Arial" w:cs="Arial" w:eastAsia="Arial" w:hAnsi="Arial"/>
                <w:sz w:val="18"/>
                <w:szCs w:val="18"/>
                <w:color w:val="auto"/>
              </w:rPr>
              <w:t>that your</w:t>
            </w:r>
          </w:p>
        </w:tc>
        <w:tc>
          <w:tcPr>
            <w:tcW w:w="620" w:type="dxa"/>
            <w:vAlign w:val="bottom"/>
          </w:tcPr>
          <w:p>
            <w:pPr>
              <w:jc w:val="center"/>
              <w:spacing w:after="0"/>
              <w:rPr>
                <w:sz w:val="20"/>
                <w:szCs w:val="20"/>
                <w:color w:val="auto"/>
              </w:rPr>
            </w:pPr>
            <w:r>
              <w:rPr>
                <w:rFonts w:ascii="Arial" w:cs="Arial" w:eastAsia="Arial" w:hAnsi="Arial"/>
                <w:sz w:val="18"/>
                <w:szCs w:val="18"/>
                <w:color w:val="auto"/>
                <w:w w:val="96"/>
              </w:rPr>
              <w:t>shares</w:t>
            </w:r>
          </w:p>
        </w:tc>
        <w:tc>
          <w:tcPr>
            <w:tcW w:w="340" w:type="dxa"/>
            <w:vAlign w:val="bottom"/>
          </w:tcPr>
          <w:p>
            <w:pPr>
              <w:ind w:left="20"/>
              <w:spacing w:after="0"/>
              <w:rPr>
                <w:sz w:val="20"/>
                <w:szCs w:val="20"/>
                <w:color w:val="auto"/>
              </w:rPr>
            </w:pPr>
            <w:r>
              <w:rPr>
                <w:rFonts w:ascii="Arial" w:cs="Arial" w:eastAsia="Arial" w:hAnsi="Arial"/>
                <w:sz w:val="18"/>
                <w:szCs w:val="18"/>
                <w:color w:val="auto"/>
              </w:rPr>
              <w:t>are</w:t>
            </w:r>
          </w:p>
        </w:tc>
        <w:tc>
          <w:tcPr>
            <w:tcW w:w="2060" w:type="dxa"/>
            <w:vAlign w:val="bottom"/>
            <w:gridSpan w:val="4"/>
          </w:tcPr>
          <w:p>
            <w:pPr>
              <w:jc w:val="right"/>
              <w:ind w:right="720"/>
              <w:spacing w:after="0"/>
              <w:rPr>
                <w:sz w:val="20"/>
                <w:szCs w:val="20"/>
                <w:color w:val="auto"/>
              </w:rPr>
            </w:pPr>
            <w:r>
              <w:rPr>
                <w:rFonts w:ascii="Arial" w:cs="Arial" w:eastAsia="Arial" w:hAnsi="Arial"/>
                <w:sz w:val="18"/>
                <w:szCs w:val="18"/>
                <w:color w:val="auto"/>
              </w:rPr>
              <w:t>held in multiple</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annual meeting any business other than the proposals</w:t>
            </w: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accounts. Please sign and return all proxy cards to ensure</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described in this proxy statement. Our board of directors</w:t>
            </w:r>
          </w:p>
        </w:tc>
        <w:tc>
          <w:tcPr>
            <w:tcW w:w="2940" w:type="dxa"/>
            <w:vAlign w:val="bottom"/>
            <w:gridSpan w:val="4"/>
          </w:tcPr>
          <w:p>
            <w:pPr>
              <w:ind w:left="80"/>
              <w:spacing w:after="0"/>
              <w:rPr>
                <w:sz w:val="20"/>
                <w:szCs w:val="20"/>
                <w:color w:val="auto"/>
              </w:rPr>
            </w:pPr>
            <w:r>
              <w:rPr>
                <w:rFonts w:ascii="Arial" w:cs="Arial" w:eastAsia="Arial" w:hAnsi="Arial"/>
                <w:sz w:val="18"/>
                <w:szCs w:val="18"/>
                <w:color w:val="auto"/>
              </w:rPr>
              <w:t>that all of your shares are voted.</w:t>
            </w: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was not aware, a reasonable time before mailing this</w:t>
            </w:r>
          </w:p>
        </w:tc>
        <w:tc>
          <w:tcPr>
            <w:tcW w:w="100" w:type="dxa"/>
            <w:vAlign w:val="bottom"/>
          </w:tcPr>
          <w:p>
            <w:pPr>
              <w:spacing w:after="0" w:line="20" w:lineRule="exact"/>
              <w:rPr>
                <w:sz w:val="1"/>
                <w:szCs w:val="1"/>
                <w:color w:val="auto"/>
              </w:rPr>
            </w:pPr>
          </w:p>
        </w:tc>
        <w:tc>
          <w:tcPr>
            <w:tcW w:w="5240" w:type="dxa"/>
            <w:vAlign w:val="bottom"/>
            <w:gridSpan w:val="8"/>
          </w:tcPr>
          <w:p>
            <w:pPr>
              <w:ind w:left="520"/>
              <w:spacing w:after="0"/>
              <w:rPr>
                <w:sz w:val="20"/>
                <w:szCs w:val="20"/>
                <w:color w:val="auto"/>
              </w:rPr>
            </w:pPr>
            <w:r>
              <w:rPr>
                <w:rFonts w:ascii="Arial" w:cs="Arial" w:eastAsia="Arial" w:hAnsi="Arial"/>
                <w:sz w:val="18"/>
                <w:szCs w:val="18"/>
                <w:color w:val="auto"/>
              </w:rPr>
              <w:t>To vote by telephone, please follow the instructions</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proxy statement to stockholders, of any other business</w:t>
            </w:r>
          </w:p>
        </w:tc>
        <w:tc>
          <w:tcPr>
            <w:tcW w:w="100" w:type="dxa"/>
            <w:vAlign w:val="bottom"/>
          </w:tcPr>
          <w:p>
            <w:pPr>
              <w:spacing w:after="0" w:line="20" w:lineRule="exact"/>
              <w:rPr>
                <w:sz w:val="1"/>
                <w:szCs w:val="1"/>
                <w:color w:val="auto"/>
              </w:rPr>
            </w:pPr>
          </w:p>
        </w:tc>
        <w:tc>
          <w:tcPr>
            <w:tcW w:w="5240" w:type="dxa"/>
            <w:vAlign w:val="bottom"/>
            <w:gridSpan w:val="8"/>
          </w:tcPr>
          <w:p>
            <w:pPr>
              <w:ind w:left="520"/>
              <w:spacing w:after="0"/>
              <w:rPr>
                <w:sz w:val="20"/>
                <w:szCs w:val="20"/>
                <w:color w:val="auto"/>
              </w:rPr>
            </w:pPr>
            <w:r>
              <w:rPr>
                <w:rFonts w:ascii="Arial" w:cs="Arial" w:eastAsia="Arial" w:hAnsi="Arial"/>
                <w:sz w:val="18"/>
                <w:szCs w:val="18"/>
                <w:color w:val="auto"/>
              </w:rPr>
              <w:t>included  on  your  proxy  card.  If  you  vote  by</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that may be properly presented for action at the annual</w:t>
            </w: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telephone, you do not need to complete and mail your</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rPr>
              <w:t>meeting. If any other business should come before the</w:t>
            </w:r>
          </w:p>
        </w:tc>
        <w:tc>
          <w:tcPr>
            <w:tcW w:w="120" w:type="dxa"/>
            <w:vAlign w:val="bottom"/>
          </w:tcPr>
          <w:p>
            <w:pPr>
              <w:spacing w:after="0" w:line="20" w:lineRule="exact"/>
              <w:rPr>
                <w:sz w:val="1"/>
                <w:szCs w:val="1"/>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proxy card.</w:t>
            </w: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annual  meeting,  the  persons  present  will  have</w:t>
            </w:r>
          </w:p>
        </w:tc>
        <w:tc>
          <w:tcPr>
            <w:tcW w:w="100" w:type="dxa"/>
            <w:vAlign w:val="bottom"/>
          </w:tcPr>
          <w:p>
            <w:pPr>
              <w:spacing w:after="0" w:line="20" w:lineRule="exact"/>
              <w:rPr>
                <w:sz w:val="1"/>
                <w:szCs w:val="1"/>
                <w:color w:val="auto"/>
              </w:rPr>
            </w:pPr>
          </w:p>
        </w:tc>
        <w:tc>
          <w:tcPr>
            <w:tcW w:w="5240" w:type="dxa"/>
            <w:vAlign w:val="bottom"/>
            <w:gridSpan w:val="8"/>
            <w:vMerge w:val="restart"/>
          </w:tcPr>
          <w:p>
            <w:pPr>
              <w:ind w:left="520"/>
              <w:spacing w:after="0"/>
              <w:rPr>
                <w:sz w:val="20"/>
                <w:szCs w:val="20"/>
                <w:color w:val="auto"/>
              </w:rPr>
            </w:pPr>
            <w:r>
              <w:rPr>
                <w:rFonts w:ascii="Arial" w:cs="Arial" w:eastAsia="Arial" w:hAnsi="Arial"/>
                <w:sz w:val="18"/>
                <w:szCs w:val="18"/>
                <w:color w:val="auto"/>
              </w:rPr>
              <w:t>To  vote  on  the  Internet,  please  follow  the</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discretionary authority to vote the shares they own or</w:t>
            </w:r>
          </w:p>
        </w:tc>
        <w:tc>
          <w:tcPr>
            <w:tcW w:w="100" w:type="dxa"/>
            <w:vAlign w:val="bottom"/>
          </w:tcPr>
          <w:p>
            <w:pPr>
              <w:spacing w:after="0" w:line="20" w:lineRule="exact"/>
              <w:rPr>
                <w:sz w:val="1"/>
                <w:szCs w:val="1"/>
                <w:color w:val="auto"/>
              </w:rPr>
            </w:pPr>
          </w:p>
        </w:tc>
        <w:tc>
          <w:tcPr>
            <w:tcW w:w="524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rPr>
              <w:t>represent by proxy in accordance with their judgment, to</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40" w:type="dxa"/>
            <w:vAlign w:val="bottom"/>
            <w:gridSpan w:val="8"/>
          </w:tcPr>
          <w:p>
            <w:pPr>
              <w:ind w:left="520"/>
              <w:spacing w:after="0"/>
              <w:rPr>
                <w:sz w:val="20"/>
                <w:szCs w:val="20"/>
                <w:color w:val="auto"/>
              </w:rPr>
            </w:pPr>
            <w:r>
              <w:rPr>
                <w:rFonts w:ascii="Arial" w:cs="Arial" w:eastAsia="Arial" w:hAnsi="Arial"/>
                <w:sz w:val="18"/>
                <w:szCs w:val="18"/>
                <w:color w:val="auto"/>
              </w:rPr>
              <w:t>instructions included on your proxy card. If you vote</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rPr>
              <w:t>the extent authorized by applicable regulations.</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on the Internet, you do not need to complete and mail</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your proxy card.</w:t>
            </w: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When is the record date?</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40" w:type="dxa"/>
            <w:vAlign w:val="bottom"/>
            <w:gridSpan w:val="8"/>
          </w:tcPr>
          <w:p>
            <w:pPr>
              <w:ind w:left="520"/>
              <w:spacing w:after="0"/>
              <w:rPr>
                <w:sz w:val="20"/>
                <w:szCs w:val="20"/>
                <w:color w:val="auto"/>
              </w:rPr>
            </w:pPr>
            <w:r>
              <w:rPr>
                <w:rFonts w:ascii="Arial" w:cs="Arial" w:eastAsia="Arial" w:hAnsi="Arial"/>
                <w:sz w:val="18"/>
                <w:szCs w:val="18"/>
                <w:color w:val="auto"/>
              </w:rPr>
              <w:t>If you plan to attend the meeting and vote in</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tcBorders>
              <w:right w:val="single" w:sz="8" w:color="auto"/>
            </w:tcBorders>
            <w:gridSpan w:val="5"/>
            <w:shd w:val="clear" w:color="auto" w:fill="000000"/>
          </w:tcPr>
          <w:p>
            <w:pPr>
              <w:spacing w:after="0"/>
              <w:rPr>
                <w:sz w:val="20"/>
                <w:szCs w:val="20"/>
                <w:color w:val="auto"/>
              </w:rPr>
            </w:pPr>
            <w:r>
              <w:rPr>
                <w:rFonts w:ascii="Arial" w:cs="Arial" w:eastAsia="Arial" w:hAnsi="Arial"/>
                <w:sz w:val="18"/>
                <w:szCs w:val="18"/>
                <w:color w:val="auto"/>
              </w:rPr>
              <w:t>Our board of directors has fixed the close of business on</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gridSpan w:val="3"/>
          </w:tcPr>
          <w:p>
            <w:pPr>
              <w:ind w:left="520"/>
              <w:spacing w:after="0"/>
              <w:rPr>
                <w:sz w:val="20"/>
                <w:szCs w:val="20"/>
                <w:color w:val="auto"/>
              </w:rPr>
            </w:pPr>
            <w:r>
              <w:rPr>
                <w:rFonts w:ascii="Arial" w:cs="Arial" w:eastAsia="Arial" w:hAnsi="Arial"/>
                <w:sz w:val="18"/>
                <w:szCs w:val="18"/>
                <w:color w:val="auto"/>
              </w:rPr>
              <w:t>person, we will provide you</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with a ballot</w:t>
            </w:r>
          </w:p>
        </w:tc>
        <w:tc>
          <w:tcPr>
            <w:tcW w:w="1240" w:type="dxa"/>
            <w:vAlign w:val="bottom"/>
            <w:gridSpan w:val="3"/>
          </w:tcPr>
          <w:p>
            <w:pPr>
              <w:jc w:val="right"/>
              <w:ind w:right="720"/>
              <w:spacing w:after="0"/>
              <w:rPr>
                <w:sz w:val="20"/>
                <w:szCs w:val="20"/>
                <w:color w:val="auto"/>
              </w:rPr>
            </w:pPr>
            <w:r>
              <w:rPr>
                <w:rFonts w:ascii="Arial" w:cs="Arial" w:eastAsia="Arial" w:hAnsi="Arial"/>
                <w:sz w:val="18"/>
                <w:szCs w:val="18"/>
                <w:color w:val="auto"/>
              </w:rPr>
              <w:t>at the</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Wednesday, April 15, 2026, as the record date for the</w:t>
            </w: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meeting.</w:t>
            </w: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annual meeting. Only stockholders of record as of the</w:t>
            </w: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If your shares are registered directly in your name, you</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close of business on that date are entitled to receive</w:t>
            </w: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are considered the stockholder of record and you have</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rPr>
              <w:t>notice of the annual meeting, and to vote at, the annual</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the right to vote in person at the meeting. If your shares</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meeting. At the close of business on the record date,</w:t>
            </w: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are held in the name of your broker or other nominee, you</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there were 19,494,412 shares of our common stock</w:t>
            </w: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are considered the beneficial owner of the shares held in</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1120" w:type="dxa"/>
            <w:vAlign w:val="bottom"/>
            <w:gridSpan w:val="4"/>
          </w:tcPr>
          <w:p>
            <w:pPr>
              <w:spacing w:after="0"/>
              <w:rPr>
                <w:sz w:val="20"/>
                <w:szCs w:val="20"/>
                <w:color w:val="auto"/>
              </w:rPr>
            </w:pPr>
            <w:r>
              <w:rPr>
                <w:rFonts w:ascii="Arial" w:cs="Arial" w:eastAsia="Arial" w:hAnsi="Arial"/>
                <w:sz w:val="18"/>
                <w:szCs w:val="18"/>
                <w:color w:val="auto"/>
              </w:rPr>
              <w:t>outstanding.</w:t>
            </w: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street name. If you wish to vote shares held in street</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name at the meeting, you will need to bring with you to the</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How many votes do I have?</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meeting a legal proxy from your broker or other nominee</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tcBorders>
              <w:right w:val="single" w:sz="8" w:color="auto"/>
            </w:tcBorders>
            <w:gridSpan w:val="5"/>
            <w:shd w:val="clear" w:color="auto" w:fill="000000"/>
          </w:tcPr>
          <w:p>
            <w:pPr>
              <w:spacing w:after="0"/>
              <w:rPr>
                <w:sz w:val="20"/>
                <w:szCs w:val="20"/>
                <w:color w:val="auto"/>
              </w:rPr>
            </w:pPr>
            <w:r>
              <w:rPr>
                <w:rFonts w:ascii="Arial" w:cs="Arial" w:eastAsia="Arial" w:hAnsi="Arial"/>
                <w:sz w:val="18"/>
                <w:szCs w:val="18"/>
                <w:color w:val="auto"/>
              </w:rPr>
              <w:t>Each share of common stock outstanding on the record</w:t>
            </w:r>
          </w:p>
        </w:tc>
        <w:tc>
          <w:tcPr>
            <w:tcW w:w="120" w:type="dxa"/>
            <w:vAlign w:val="bottom"/>
          </w:tcPr>
          <w:p>
            <w:pPr>
              <w:spacing w:after="0" w:line="20" w:lineRule="exact"/>
              <w:rPr>
                <w:sz w:val="1"/>
                <w:szCs w:val="1"/>
                <w:color w:val="auto"/>
              </w:rPr>
            </w:pPr>
          </w:p>
        </w:tc>
        <w:tc>
          <w:tcPr>
            <w:tcW w:w="2940" w:type="dxa"/>
            <w:vAlign w:val="bottom"/>
            <w:gridSpan w:val="4"/>
          </w:tcPr>
          <w:p>
            <w:pPr>
              <w:ind w:left="80"/>
              <w:spacing w:after="0"/>
              <w:rPr>
                <w:sz w:val="20"/>
                <w:szCs w:val="20"/>
                <w:color w:val="auto"/>
              </w:rPr>
            </w:pPr>
            <w:r>
              <w:rPr>
                <w:rFonts w:ascii="Arial" w:cs="Arial" w:eastAsia="Arial" w:hAnsi="Arial"/>
                <w:sz w:val="18"/>
                <w:szCs w:val="18"/>
                <w:color w:val="auto"/>
                <w:w w:val="99"/>
              </w:rPr>
              <w:t>authorizing you to vote your shares.</w:t>
            </w: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rPr>
              <w:t>date will be entitled to cast one vote.</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b w:val="1"/>
                <w:bCs w:val="1"/>
                <w:color w:val="auto"/>
              </w:rPr>
              <w:t>What constitutes a quorum? What is a broker “non-</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vote”?</w:t>
            </w: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What are the methods of voting?</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A quorum must be present in order for business to be</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The shares represented by your properly signed proxy</w:t>
            </w: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conducted at the annual meeting. Our by-laws provide</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card will be voted in accordance with your directions. If</w:t>
            </w: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that a quorum consists of a majority of the shares of</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w w:val="99"/>
              </w:rPr>
              <w:t>you do not specify a choice with respect to a proposal for</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common stock outstanding and entitled to vote at the</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680" w:type="dxa"/>
            <w:vAlign w:val="bottom"/>
            <w:gridSpan w:val="6"/>
          </w:tcPr>
          <w:p>
            <w:pPr>
              <w:spacing w:after="0"/>
              <w:rPr>
                <w:sz w:val="20"/>
                <w:szCs w:val="20"/>
                <w:color w:val="auto"/>
              </w:rPr>
            </w:pPr>
            <w:r>
              <w:rPr>
                <w:rFonts w:ascii="Arial" w:cs="Arial" w:eastAsia="Arial" w:hAnsi="Arial"/>
                <w:sz w:val="18"/>
                <w:szCs w:val="18"/>
                <w:color w:val="auto"/>
              </w:rPr>
              <w:t>which   our   board   of   directors   has   made   a</w:t>
            </w: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annual meeting. Shares of common stock represented by</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rPr>
              <w:t>recommendation, the shares covered by your signed</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a properly signed and returned proxy card (including</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rPr>
              <w:t>proxy card will be voted as recommended in this proxy</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shares properly voted by telephone or on the Internet) will</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w w:val="98"/>
              </w:rPr>
              <w:t>statement. We encourage you to vote on all matters to be</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be treated as present at the annual meeting for purposes</w:t>
            </w:r>
          </w:p>
        </w:tc>
        <w:tc>
          <w:tcPr>
            <w:tcW w:w="0" w:type="dxa"/>
            <w:vAlign w:val="bottom"/>
          </w:tcPr>
          <w:p>
            <w:pPr>
              <w:spacing w:after="0" w:line="20" w:lineRule="exact"/>
              <w:rPr>
                <w:sz w:val="1"/>
                <w:szCs w:val="1"/>
                <w:color w:val="auto"/>
              </w:rPr>
            </w:pPr>
          </w:p>
        </w:tc>
      </w:tr>
      <w:tr>
        <w:trPr>
          <w:trHeight w:val="0"/>
        </w:trPr>
        <w:tc>
          <w:tcPr>
            <w:tcW w:w="700" w:type="dxa"/>
            <w:vAlign w:val="bottom"/>
          </w:tcPr>
          <w:p>
            <w:pPr>
              <w:spacing w:after="0" w:line="20" w:lineRule="exact"/>
              <w:rPr>
                <w:sz w:val="1"/>
                <w:szCs w:val="1"/>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rPr>
              <w:t>considered. If, on the record</w:t>
            </w:r>
          </w:p>
        </w:tc>
        <w:tc>
          <w:tcPr>
            <w:tcW w:w="120" w:type="dxa"/>
            <w:vAlign w:val="bottom"/>
          </w:tcPr>
          <w:p>
            <w:pPr>
              <w:spacing w:after="0" w:line="20" w:lineRule="exact"/>
              <w:rPr>
                <w:sz w:val="1"/>
                <w:szCs w:val="1"/>
                <w:color w:val="auto"/>
              </w:rPr>
            </w:pPr>
          </w:p>
        </w:tc>
        <w:tc>
          <w:tcPr>
            <w:tcW w:w="5340" w:type="dxa"/>
            <w:vAlign w:val="bottom"/>
            <w:gridSpan w:val="9"/>
          </w:tcPr>
          <w:p>
            <w:pPr>
              <w:ind w:left="80"/>
              <w:spacing w:after="0"/>
              <w:rPr>
                <w:sz w:val="20"/>
                <w:szCs w:val="20"/>
                <w:color w:val="auto"/>
              </w:rPr>
            </w:pPr>
            <w:r>
              <w:rPr>
                <w:rFonts w:ascii="Arial" w:cs="Arial" w:eastAsia="Arial" w:hAnsi="Arial"/>
                <w:sz w:val="18"/>
                <w:szCs w:val="18"/>
                <w:color w:val="auto"/>
              </w:rPr>
              <w:t>of determining the existence of a quorum at the annual</w:t>
            </w:r>
          </w:p>
        </w:tc>
        <w:tc>
          <w:tcPr>
            <w:tcW w:w="0" w:type="dxa"/>
            <w:vAlign w:val="bottom"/>
          </w:tcPr>
          <w:p>
            <w:pPr>
              <w:spacing w:after="0" w:line="20" w:lineRule="exact"/>
              <w:rPr>
                <w:sz w:val="1"/>
                <w:szCs w:val="1"/>
                <w:color w:val="auto"/>
              </w:rPr>
            </w:pPr>
          </w:p>
        </w:tc>
      </w:tr>
      <w:tr>
        <w:trPr>
          <w:trHeight w:val="239"/>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ind w:left="80"/>
              <w:spacing w:after="0"/>
              <w:rPr>
                <w:sz w:val="20"/>
                <w:szCs w:val="20"/>
                <w:color w:val="auto"/>
              </w:rPr>
            </w:pPr>
            <w:r>
              <w:rPr>
                <w:rFonts w:ascii="Arial" w:cs="Arial" w:eastAsia="Arial" w:hAnsi="Arial"/>
                <w:sz w:val="18"/>
                <w:szCs w:val="18"/>
                <w:color w:val="auto"/>
              </w:rPr>
              <w:t>meeting. Abstentions and broker</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7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34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1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395796"/>
        </w:rPr>
        <w:t>QUESTIONS AND ANSWERS ABOUT THE ANNUAL MEETING OF STOCKHOLDERS AND VOTING</w:t>
      </w:r>
    </w:p>
    <w:p>
      <w:pPr>
        <w:sectPr>
          <w:pgSz w:w="11900" w:h="16838" w:orient="portrait"/>
          <w:cols w:equalWidth="0" w:num="1">
            <w:col w:w="10020"/>
          </w:cols>
          <w:pgMar w:left="580" w:top="97" w:right="1299" w:bottom="1440" w:gutter="0" w:footer="0" w:header="0"/>
        </w:sectPr>
      </w:pPr>
    </w:p>
    <w:p>
      <w:pPr>
        <w:spacing w:after="0" w:line="185"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“non-votes” are counted as present or represented for purposes of determining the existence of a quorum at the annual meeting. A “non-vote” occurs when a broker or nominee holding shares for a beneficial owner returns a proxy card but does not vote that owner’s shares on a proposal because the broker or nominee does not have discretionary voting power and has not received instructions from that owner.</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vote is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77470</wp:posOffset>
            </wp:positionV>
            <wp:extent cx="28886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6" w:lineRule="exact"/>
        <w:rPr>
          <w:sz w:val="20"/>
          <w:szCs w:val="20"/>
          <w:color w:val="auto"/>
        </w:rPr>
      </w:pPr>
    </w:p>
    <w:p>
      <w:pPr>
        <w:jc w:val="both"/>
        <w:ind w:left="700"/>
        <w:spacing w:after="0" w:line="269" w:lineRule="auto"/>
        <w:rPr>
          <w:sz w:val="20"/>
          <w:szCs w:val="20"/>
          <w:color w:val="auto"/>
        </w:rPr>
      </w:pPr>
      <w:r>
        <w:rPr>
          <w:rFonts w:ascii="Arial" w:cs="Arial" w:eastAsia="Arial" w:hAnsi="Arial"/>
          <w:sz w:val="17"/>
          <w:szCs w:val="17"/>
          <w:color w:val="auto"/>
        </w:rPr>
        <w:t>A majority of the votes properly cast at the annual meeting will be necessary to elect two Class III directors to a three-year term (proposal 1); to approve, on an advisory (non-binding) basis, the compensation of our named executive officers for 2025 (proposal 2); and to approve the ratification of the appointment of Grant Thornton LLP as our independent registered public accounting firm for 2026 (proposal 3). A majority of the votes properly cast at the annual meeting will be necessary to approve any other matter that may be properly acted upon at the annual meeting. For more information on majority voting for the election of directors, please see “Board of Directors and Committees of the Board – Corporate Governance –  Majority Voting.”</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What effect do abstentions and broker non-votes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76200</wp:posOffset>
            </wp:positionV>
            <wp:extent cx="28886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57" w:lineRule="exact"/>
        <w:rPr>
          <w:sz w:val="20"/>
          <w:szCs w:val="20"/>
          <w:color w:val="auto"/>
        </w:rPr>
      </w:pPr>
    </w:p>
    <w:p>
      <w:pPr>
        <w:jc w:val="both"/>
        <w:ind w:left="700"/>
        <w:spacing w:after="0" w:line="282" w:lineRule="auto"/>
        <w:rPr>
          <w:sz w:val="20"/>
          <w:szCs w:val="20"/>
          <w:color w:val="auto"/>
        </w:rPr>
      </w:pPr>
      <w:r>
        <w:rPr>
          <w:rFonts w:ascii="Arial" w:cs="Arial" w:eastAsia="Arial" w:hAnsi="Arial"/>
          <w:sz w:val="17"/>
          <w:szCs w:val="17"/>
          <w:color w:val="auto"/>
        </w:rPr>
        <w:t>Abstentions and broker “non-votes” will not be included in calculating the number of votes cast on any proposal. As a result, abstentions and broker “non-votes” will not have any effect on the outcome of the vote on any proposal.</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69215</wp:posOffset>
            </wp:positionV>
            <wp:extent cx="28886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32" w:lineRule="exact"/>
        <w:rPr>
          <w:sz w:val="20"/>
          <w:szCs w:val="20"/>
          <w:color w:val="auto"/>
        </w:rPr>
      </w:pPr>
    </w:p>
    <w:p>
      <w:pPr>
        <w:jc w:val="both"/>
        <w:ind w:left="700"/>
        <w:spacing w:after="0" w:line="268" w:lineRule="auto"/>
        <w:rPr>
          <w:sz w:val="20"/>
          <w:szCs w:val="20"/>
          <w:color w:val="auto"/>
        </w:rPr>
      </w:pPr>
      <w:r>
        <w:rPr>
          <w:rFonts w:ascii="Arial" w:cs="Arial" w:eastAsia="Arial" w:hAnsi="Arial"/>
          <w:sz w:val="18"/>
          <w:szCs w:val="18"/>
          <w:color w:val="auto"/>
        </w:rPr>
        <w:t>Our transfer agent, Computershare Trust Company, N.A., will separately tabulate the votes on each matter presented to the stockholders at the annual meeting.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soliciting my vote? Are they paid solicitors?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28803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1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soliciting proxies on behalf of our board of directors. No compensation will be paid by any person for our solicitation of proxies. We will reimburse brokers, dealers, banks and other nominees for the out-of-pocket expenses and other reasonable clerical expenses they incur in obtaining instructions from beneficial owners of our common stock. In addition to our solicitation by mail, our directors, officers and employees may make special solicitations of proxies personally or by telephone, facsimile, courier or e-mail.</w:t>
      </w:r>
    </w:p>
    <w:p>
      <w:pPr>
        <w:spacing w:after="0" w:line="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expect that the expense of any special solicitation will be nominal. We will pay all expenses incurred in connection with this solicitation.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a proxy be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28803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are a stockholder of record, you may revoke your proxy at any time before it is voted at the meeting. In order to revoke your proxy, you must either:</w:t>
      </w:r>
    </w:p>
    <w:p>
      <w:pPr>
        <w:spacing w:after="0" w:line="61" w:lineRule="exact"/>
        <w:rPr>
          <w:sz w:val="20"/>
          <w:szCs w:val="20"/>
          <w:color w:val="auto"/>
        </w:rPr>
      </w:pPr>
    </w:p>
    <w:p>
      <w:pPr>
        <w:ind w:left="300" w:hanging="291"/>
        <w:spacing w:after="0"/>
        <w:tabs>
          <w:tab w:leader="none" w:pos="300" w:val="left"/>
        </w:tabs>
        <w:numPr>
          <w:ilvl w:val="0"/>
          <w:numId w:val="10"/>
        </w:numPr>
        <w:rPr>
          <w:rFonts w:ascii="MS PGothic" w:cs="MS PGothic" w:eastAsia="MS PGothic" w:hAnsi="MS PGothic"/>
          <w:sz w:val="18"/>
          <w:szCs w:val="18"/>
          <w:color w:val="395796"/>
        </w:rPr>
      </w:pPr>
      <w:r>
        <w:rPr>
          <w:rFonts w:ascii="Arial" w:cs="Arial" w:eastAsia="Arial" w:hAnsi="Arial"/>
          <w:sz w:val="18"/>
          <w:szCs w:val="18"/>
          <w:color w:val="auto"/>
        </w:rPr>
        <w:t>sign and return another proxy card with a later date;</w:t>
      </w:r>
    </w:p>
    <w:p>
      <w:pPr>
        <w:spacing w:after="0" w:line="117" w:lineRule="exact"/>
        <w:rPr>
          <w:rFonts w:ascii="MS PGothic" w:cs="MS PGothic" w:eastAsia="MS PGothic" w:hAnsi="MS PGothic"/>
          <w:sz w:val="18"/>
          <w:szCs w:val="18"/>
          <w:color w:val="395796"/>
        </w:rPr>
      </w:pPr>
    </w:p>
    <w:p>
      <w:pPr>
        <w:ind w:left="300" w:right="20" w:hanging="291"/>
        <w:spacing w:after="0" w:line="281" w:lineRule="auto"/>
        <w:tabs>
          <w:tab w:leader="none" w:pos="300" w:val="left"/>
        </w:tabs>
        <w:numPr>
          <w:ilvl w:val="0"/>
          <w:numId w:val="10"/>
        </w:numPr>
        <w:rPr>
          <w:rFonts w:ascii="MS PGothic" w:cs="MS PGothic" w:eastAsia="MS PGothic" w:hAnsi="MS PGothic"/>
          <w:sz w:val="18"/>
          <w:szCs w:val="18"/>
          <w:color w:val="395796"/>
        </w:rPr>
      </w:pPr>
      <w:r>
        <w:rPr>
          <w:rFonts w:ascii="Arial" w:cs="Arial" w:eastAsia="Arial" w:hAnsi="Arial"/>
          <w:sz w:val="18"/>
          <w:szCs w:val="18"/>
          <w:color w:val="auto"/>
        </w:rPr>
        <w:t>provide written notice of the revocation of your proxy to our secretary;</w:t>
      </w:r>
    </w:p>
    <w:p>
      <w:pPr>
        <w:spacing w:after="0" w:line="41" w:lineRule="exact"/>
        <w:rPr>
          <w:rFonts w:ascii="MS PGothic" w:cs="MS PGothic" w:eastAsia="MS PGothic" w:hAnsi="MS PGothic"/>
          <w:sz w:val="18"/>
          <w:szCs w:val="18"/>
          <w:color w:val="395796"/>
        </w:rPr>
      </w:pPr>
    </w:p>
    <w:p>
      <w:pPr>
        <w:jc w:val="both"/>
        <w:ind w:left="300" w:hanging="291"/>
        <w:spacing w:after="0" w:line="268" w:lineRule="auto"/>
        <w:tabs>
          <w:tab w:leader="none" w:pos="300" w:val="left"/>
        </w:tabs>
        <w:numPr>
          <w:ilvl w:val="0"/>
          <w:numId w:val="10"/>
        </w:numPr>
        <w:rPr>
          <w:rFonts w:ascii="MS PGothic" w:cs="MS PGothic" w:eastAsia="MS PGothic" w:hAnsi="MS PGothic"/>
          <w:sz w:val="18"/>
          <w:szCs w:val="18"/>
          <w:color w:val="395796"/>
        </w:rPr>
      </w:pPr>
      <w:r>
        <w:rPr>
          <w:rFonts w:ascii="Arial" w:cs="Arial" w:eastAsia="Arial" w:hAnsi="Arial"/>
          <w:sz w:val="18"/>
          <w:szCs w:val="18"/>
          <w:color w:val="auto"/>
        </w:rPr>
        <w:t>if you voted by Internet or telephone, follow the instructions for revocation provided by Internet or telephone; or</w:t>
      </w:r>
    </w:p>
    <w:p>
      <w:pPr>
        <w:spacing w:after="0" w:line="62" w:lineRule="exact"/>
        <w:rPr>
          <w:rFonts w:ascii="MS PGothic" w:cs="MS PGothic" w:eastAsia="MS PGothic" w:hAnsi="MS PGothic"/>
          <w:sz w:val="18"/>
          <w:szCs w:val="18"/>
          <w:color w:val="395796"/>
        </w:rPr>
      </w:pPr>
    </w:p>
    <w:p>
      <w:pPr>
        <w:ind w:left="300" w:hanging="291"/>
        <w:spacing w:after="0"/>
        <w:tabs>
          <w:tab w:leader="none" w:pos="300" w:val="left"/>
        </w:tabs>
        <w:numPr>
          <w:ilvl w:val="0"/>
          <w:numId w:val="10"/>
        </w:numPr>
        <w:rPr>
          <w:rFonts w:ascii="MS PGothic" w:cs="MS PGothic" w:eastAsia="MS PGothic" w:hAnsi="MS PGothic"/>
          <w:sz w:val="18"/>
          <w:szCs w:val="18"/>
          <w:color w:val="395796"/>
        </w:rPr>
      </w:pPr>
      <w:r>
        <w:rPr>
          <w:rFonts w:ascii="Arial" w:cs="Arial" w:eastAsia="Arial" w:hAnsi="Arial"/>
          <w:sz w:val="18"/>
          <w:szCs w:val="18"/>
          <w:color w:val="auto"/>
        </w:rPr>
        <w:t>attend the meeting and vote in person.</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your shares are held in street name, you should follow the instructions of your broker, dealer, bank or other nominee to change your vote.</w:t>
      </w:r>
    </w:p>
    <w:p>
      <w:pPr>
        <w:spacing w:after="0" w:line="5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Your attendance at the annual meeting will not revoke your proxy unless you specifically request it or you vote at the annual meeting. If your shares are held in street name, your attendance at the annual meeting will not revoke your voting instructions. In the absence of a revocation, shares represented by proxies will be voted at the annual meeting.</w:t>
      </w:r>
    </w:p>
    <w:p>
      <w:pPr>
        <w:spacing w:after="0" w:line="200" w:lineRule="exact"/>
        <w:rPr>
          <w:sz w:val="20"/>
          <w:szCs w:val="20"/>
          <w:color w:val="auto"/>
        </w:rPr>
      </w:pPr>
    </w:p>
    <w:p>
      <w:pPr>
        <w:sectPr>
          <w:pgSz w:w="11900" w:h="16838" w:orient="portrait"/>
          <w:cols w:equalWidth="0" w:num="2">
            <w:col w:w="5260" w:space="200"/>
            <w:col w:w="456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380"/>
        <w:spacing w:after="0"/>
        <w:rPr>
          <w:sz w:val="20"/>
          <w:szCs w:val="20"/>
          <w:color w:val="auto"/>
        </w:rPr>
      </w:pPr>
      <w:r>
        <w:rPr>
          <w:rFonts w:ascii="Arial" w:cs="Arial" w:eastAsia="Arial" w:hAnsi="Arial"/>
          <w:sz w:val="17"/>
          <w:szCs w:val="17"/>
          <w:color w:val="395796"/>
        </w:rPr>
        <w:t xml:space="preserve">KVH Industries, Inc. 2026 Proxy Statement  </w:t>
      </w:r>
      <w:r>
        <w:rPr>
          <w:rFonts w:ascii="Arial" w:cs="Arial" w:eastAsia="Arial" w:hAnsi="Arial"/>
          <w:sz w:val="17"/>
          <w:szCs w:val="17"/>
          <w:color w:val="00000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386080</wp:posOffset>
            </wp:positionV>
            <wp:extent cx="102870" cy="3257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386080</wp:posOffset>
            </wp:positionV>
            <wp:extent cx="102235" cy="325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235" cy="325755"/>
                    </a:xfrm>
                    <a:prstGeom prst="rect">
                      <a:avLst/>
                    </a:prstGeom>
                    <a:noFill/>
                  </pic:spPr>
                </pic:pic>
              </a:graphicData>
            </a:graphic>
          </wp:anchor>
        </w:drawing>
      </w:r>
    </w:p>
    <w:p>
      <w:pPr>
        <w:spacing w:after="0" w:line="311" w:lineRule="exact"/>
        <w:rPr>
          <w:sz w:val="20"/>
          <w:szCs w:val="20"/>
          <w:color w:val="auto"/>
        </w:rPr>
      </w:pPr>
    </w:p>
    <w:tbl>
      <w:tblPr>
        <w:tblLayout w:type="fixed"/>
        <w:tblInd w:w="700" w:type="dxa"/>
        <w:tblCellMar>
          <w:top w:w="0" w:type="dxa"/>
          <w:left w:w="0" w:type="dxa"/>
          <w:bottom w:w="0" w:type="dxa"/>
          <w:right w:w="0" w:type="dxa"/>
        </w:tblCellMar>
      </w:tblPr>
      <w:tr>
        <w:trPr>
          <w:trHeight w:val="368"/>
        </w:trPr>
        <w:tc>
          <w:tcPr>
            <w:tcW w:w="120" w:type="dxa"/>
            <w:vAlign w:val="bottom"/>
          </w:tcPr>
          <w:p>
            <w:pPr>
              <w:spacing w:after="0"/>
              <w:rPr>
                <w:sz w:val="20"/>
                <w:szCs w:val="20"/>
                <w:color w:val="auto"/>
              </w:rPr>
            </w:pPr>
            <w:r>
              <w:rPr>
                <w:rFonts w:ascii="Arial" w:cs="Arial" w:eastAsia="Arial" w:hAnsi="Arial"/>
                <w:sz w:val="32"/>
                <w:szCs w:val="32"/>
                <w:b w:val="1"/>
                <w:bCs w:val="1"/>
                <w:color w:val="FFFFFF"/>
              </w:rPr>
              <w:t>​</w:t>
            </w:r>
          </w:p>
        </w:tc>
        <w:tc>
          <w:tcPr>
            <w:tcW w:w="9060" w:type="dxa"/>
            <w:vAlign w:val="bottom"/>
            <w:shd w:val="clear" w:color="auto" w:fill="395796"/>
          </w:tcPr>
          <w:p>
            <w:pPr>
              <w:ind w:left="6440"/>
              <w:spacing w:after="0"/>
              <w:rPr>
                <w:sz w:val="20"/>
                <w:szCs w:val="20"/>
                <w:color w:val="auto"/>
              </w:rPr>
            </w:pPr>
            <w:r>
              <w:rPr>
                <w:rFonts w:ascii="Arial" w:cs="Arial" w:eastAsia="Arial" w:hAnsi="Arial"/>
                <w:sz w:val="18"/>
                <w:szCs w:val="18"/>
                <w:color w:val="FFFFFF"/>
              </w:rPr>
              <w:t>​</w:t>
            </w:r>
          </w:p>
        </w:tc>
        <w:tc>
          <w:tcPr>
            <w:tcW w:w="80" w:type="dxa"/>
            <w:vAlign w:val="bottom"/>
          </w:tcPr>
          <w:p>
            <w:pPr>
              <w:spacing w:after="0"/>
              <w:rPr>
                <w:sz w:val="20"/>
                <w:szCs w:val="20"/>
                <w:color w:val="auto"/>
              </w:rPr>
            </w:pPr>
            <w:r>
              <w:rPr>
                <w:rFonts w:ascii="Arial" w:cs="Arial" w:eastAsia="Arial" w:hAnsi="Arial"/>
                <w:sz w:val="32"/>
                <w:szCs w:val="32"/>
                <w:b w:val="1"/>
                <w:bCs w:val="1"/>
                <w:color w:val="FFFFFF"/>
              </w:rPr>
              <w:t>​</w:t>
            </w:r>
          </w:p>
        </w:tc>
      </w:tr>
      <w:tr>
        <w:trPr>
          <w:trHeight w:val="401"/>
        </w:trPr>
        <w:tc>
          <w:tcPr>
            <w:tcW w:w="120" w:type="dxa"/>
            <w:vAlign w:val="bottom"/>
          </w:tcPr>
          <w:p>
            <w:pPr>
              <w:spacing w:after="0"/>
              <w:rPr>
                <w:sz w:val="24"/>
                <w:szCs w:val="24"/>
                <w:color w:val="auto"/>
              </w:rPr>
            </w:pPr>
          </w:p>
        </w:tc>
        <w:tc>
          <w:tcPr>
            <w:tcW w:w="9060" w:type="dxa"/>
            <w:vAlign w:val="bottom"/>
            <w:shd w:val="clear" w:color="auto" w:fill="395796"/>
          </w:tcPr>
          <w:p>
            <w:pPr>
              <w:spacing w:after="0"/>
              <w:rPr>
                <w:sz w:val="20"/>
                <w:szCs w:val="20"/>
                <w:color w:val="auto"/>
              </w:rPr>
            </w:pPr>
            <w:r>
              <w:rPr>
                <w:rFonts w:ascii="Arial" w:cs="Arial" w:eastAsia="Arial" w:hAnsi="Arial"/>
                <w:sz w:val="32"/>
                <w:szCs w:val="32"/>
                <w:b w:val="1"/>
                <w:bCs w:val="1"/>
                <w:color w:val="FFFFFF"/>
              </w:rPr>
              <w:t>PROPOSAL 1 – ELECTION OF DIRECTORS</w:t>
            </w:r>
          </w:p>
        </w:tc>
        <w:tc>
          <w:tcPr>
            <w:tcW w:w="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114" w:lineRule="exact"/>
        <w:rPr>
          <w:sz w:val="20"/>
          <w:szCs w:val="20"/>
          <w:color w:val="auto"/>
        </w:rPr>
      </w:pPr>
    </w:p>
    <w:p>
      <w:pPr>
        <w:jc w:val="both"/>
        <w:ind w:left="700"/>
        <w:spacing w:after="0" w:line="270" w:lineRule="auto"/>
        <w:rPr>
          <w:sz w:val="20"/>
          <w:szCs w:val="20"/>
          <w:color w:val="auto"/>
        </w:rPr>
      </w:pPr>
      <w:r>
        <w:rPr>
          <w:rFonts w:ascii="Arial" w:cs="Arial" w:eastAsia="Arial" w:hAnsi="Arial"/>
          <w:sz w:val="20"/>
          <w:szCs w:val="20"/>
          <w:b w:val="1"/>
          <w:bCs w:val="1"/>
          <w:color w:val="auto"/>
        </w:rPr>
        <w:t>Proposal 1 concerns the election of two Class III directors for a three-year term.</w:t>
      </w:r>
    </w:p>
    <w:p>
      <w:pPr>
        <w:spacing w:after="0" w:line="27" w:lineRule="exact"/>
        <w:rPr>
          <w:sz w:val="20"/>
          <w:szCs w:val="20"/>
          <w:color w:val="auto"/>
        </w:rPr>
      </w:pPr>
    </w:p>
    <w:p>
      <w:pPr>
        <w:jc w:val="both"/>
        <w:ind w:left="700"/>
        <w:spacing w:after="0" w:line="266" w:lineRule="auto"/>
        <w:rPr>
          <w:sz w:val="20"/>
          <w:szCs w:val="20"/>
          <w:color w:val="auto"/>
        </w:rPr>
      </w:pPr>
      <w:r>
        <w:rPr>
          <w:rFonts w:ascii="Arial" w:cs="Arial" w:eastAsia="Arial" w:hAnsi="Arial"/>
          <w:sz w:val="17"/>
          <w:szCs w:val="17"/>
          <w:color w:val="auto"/>
        </w:rPr>
        <w:t>Our board of directors currently consists of five directors and is divided into three classes. We refer to these classes as Class I, Class II and Class III. The term of one class of directors expires each year at the annual meeting of stockholders. Each director also continues to serve as a</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director until his or her successor is duly elected and qualified. This year, the term of our Class III directors, David M. Tolley and Stephen H. Deckoff, is expiring.</w:t>
      </w:r>
    </w:p>
    <w:p>
      <w:pPr>
        <w:spacing w:after="0" w:line="6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nominating and corporate governance committee has nominated Messrs. Tolley and Deckoff to serve as Class III directors for a three-year term.</w:t>
      </w:r>
    </w:p>
    <w:p>
      <w:pPr>
        <w:spacing w:after="0" w:line="324" w:lineRule="exact"/>
        <w:rPr>
          <w:sz w:val="20"/>
          <w:szCs w:val="20"/>
          <w:color w:val="auto"/>
        </w:rPr>
      </w:pPr>
    </w:p>
    <w:p>
      <w:pPr>
        <w:sectPr>
          <w:pgSz w:w="11900" w:h="16838" w:orient="portrait"/>
          <w:cols w:equalWidth="0" w:num="2">
            <w:col w:w="5260" w:space="200"/>
            <w:col w:w="4560"/>
          </w:cols>
          <w:pgMar w:left="580" w:top="97" w:right="1299" w:bottom="1440" w:gutter="0" w:footer="0" w:header="0"/>
          <w:type w:val="continuous"/>
        </w:sectPr>
      </w:pPr>
    </w:p>
    <w:p>
      <w:pPr>
        <w:ind w:left="700"/>
        <w:spacing w:after="0"/>
        <w:rPr>
          <w:sz w:val="20"/>
          <w:szCs w:val="20"/>
          <w:color w:val="auto"/>
        </w:rPr>
      </w:pPr>
      <w:r>
        <w:rPr>
          <w:rFonts w:ascii="Arial" w:cs="Arial" w:eastAsia="Arial" w:hAnsi="Arial"/>
          <w:sz w:val="29"/>
          <w:szCs w:val="29"/>
          <w:b w:val="1"/>
          <w:bCs w:val="1"/>
          <w:color w:val="395796"/>
        </w:rPr>
        <w:t>Director Nominees</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Ending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137795</wp:posOffset>
            </wp:positionV>
            <wp:extent cx="5906135" cy="18516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06135" cy="1851660"/>
                    </a:xfrm>
                    <a:prstGeom prst="rect">
                      <a:avLst/>
                    </a:prstGeom>
                    <a:noFill/>
                  </pic:spPr>
                </pic:pic>
              </a:graphicData>
            </a:graphic>
          </wp:anchor>
        </w:drawing>
      </w:r>
    </w:p>
    <w:p>
      <w:pPr>
        <w:spacing w:after="0" w:line="27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395796"/>
        </w:rPr>
        <w:t>David M. Tolley</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Age: 59</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Director Nominee and Current Chairman of the Board of Directors</w:t>
      </w:r>
    </w:p>
    <w:p>
      <w:pPr>
        <w:spacing w:after="0" w:line="160" w:lineRule="exact"/>
        <w:rPr>
          <w:sz w:val="20"/>
          <w:szCs w:val="20"/>
          <w:color w:val="auto"/>
        </w:rPr>
      </w:pPr>
    </w:p>
    <w:p>
      <w:pPr>
        <w:ind w:left="2860"/>
        <w:spacing w:after="0"/>
        <w:rPr>
          <w:sz w:val="20"/>
          <w:szCs w:val="20"/>
          <w:color w:val="auto"/>
        </w:rPr>
      </w:pPr>
      <w:r>
        <w:rPr>
          <w:rFonts w:ascii="Arial" w:cs="Arial" w:eastAsia="Arial" w:hAnsi="Arial"/>
          <w:sz w:val="18"/>
          <w:szCs w:val="18"/>
          <w:b w:val="1"/>
          <w:bCs w:val="1"/>
          <w:i w:val="1"/>
          <w:iCs w:val="1"/>
          <w:color w:val="auto"/>
        </w:rPr>
        <w:t>Committee Memberships:</w:t>
      </w:r>
    </w:p>
    <w:p>
      <w:pPr>
        <w:spacing w:after="0" w:line="115" w:lineRule="exact"/>
        <w:rPr>
          <w:sz w:val="20"/>
          <w:szCs w:val="20"/>
          <w:color w:val="auto"/>
        </w:rPr>
      </w:pPr>
    </w:p>
    <w:p>
      <w:pPr>
        <w:ind w:left="3160" w:hanging="292"/>
        <w:spacing w:after="0"/>
        <w:tabs>
          <w:tab w:leader="none" w:pos="3160" w:val="left"/>
        </w:tabs>
        <w:numPr>
          <w:ilvl w:val="0"/>
          <w:numId w:val="11"/>
        </w:numPr>
        <w:rPr>
          <w:rFonts w:ascii="MS PGothic" w:cs="MS PGothic" w:eastAsia="MS PGothic" w:hAnsi="MS PGothic"/>
          <w:sz w:val="18"/>
          <w:szCs w:val="18"/>
          <w:color w:val="395796"/>
        </w:rPr>
      </w:pPr>
      <w:r>
        <w:rPr>
          <w:rFonts w:ascii="Arial" w:cs="Arial" w:eastAsia="Arial" w:hAnsi="Arial"/>
          <w:sz w:val="18"/>
          <w:szCs w:val="18"/>
          <w:color w:val="auto"/>
        </w:rPr>
        <w:t>Compensation Committee Chair</w:t>
      </w:r>
    </w:p>
    <w:p>
      <w:pPr>
        <w:spacing w:after="0" w:line="117" w:lineRule="exact"/>
        <w:rPr>
          <w:rFonts w:ascii="MS PGothic" w:cs="MS PGothic" w:eastAsia="MS PGothic" w:hAnsi="MS PGothic"/>
          <w:sz w:val="18"/>
          <w:szCs w:val="18"/>
          <w:color w:val="395796"/>
        </w:rPr>
      </w:pPr>
    </w:p>
    <w:p>
      <w:pPr>
        <w:ind w:left="3160" w:hanging="292"/>
        <w:spacing w:after="0"/>
        <w:tabs>
          <w:tab w:leader="none" w:pos="3160" w:val="left"/>
        </w:tabs>
        <w:numPr>
          <w:ilvl w:val="0"/>
          <w:numId w:val="11"/>
        </w:numPr>
        <w:rPr>
          <w:rFonts w:ascii="MS PGothic" w:cs="MS PGothic" w:eastAsia="MS PGothic" w:hAnsi="MS PGothic"/>
          <w:sz w:val="18"/>
          <w:szCs w:val="18"/>
          <w:color w:val="395796"/>
        </w:rPr>
      </w:pPr>
      <w:r>
        <w:rPr>
          <w:rFonts w:ascii="Arial" w:cs="Arial" w:eastAsia="Arial" w:hAnsi="Arial"/>
          <w:sz w:val="18"/>
          <w:szCs w:val="18"/>
          <w:color w:val="auto"/>
        </w:rPr>
        <w:t>Audit Committee Member</w:t>
      </w:r>
    </w:p>
    <w:p>
      <w:pPr>
        <w:spacing w:after="0" w:line="117" w:lineRule="exact"/>
        <w:rPr>
          <w:rFonts w:ascii="MS PGothic" w:cs="MS PGothic" w:eastAsia="MS PGothic" w:hAnsi="MS PGothic"/>
          <w:sz w:val="18"/>
          <w:szCs w:val="18"/>
          <w:color w:val="395796"/>
        </w:rPr>
      </w:pPr>
    </w:p>
    <w:p>
      <w:pPr>
        <w:ind w:left="3160" w:hanging="292"/>
        <w:spacing w:after="0"/>
        <w:tabs>
          <w:tab w:leader="none" w:pos="3160" w:val="left"/>
        </w:tabs>
        <w:numPr>
          <w:ilvl w:val="0"/>
          <w:numId w:val="11"/>
        </w:numPr>
        <w:rPr>
          <w:rFonts w:ascii="MS PGothic" w:cs="MS PGothic" w:eastAsia="MS PGothic" w:hAnsi="MS PGothic"/>
          <w:sz w:val="18"/>
          <w:szCs w:val="18"/>
          <w:color w:val="395796"/>
        </w:rPr>
      </w:pPr>
      <w:r>
        <w:rPr>
          <w:rFonts w:ascii="Arial" w:cs="Arial" w:eastAsia="Arial" w:hAnsi="Arial"/>
          <w:sz w:val="18"/>
          <w:szCs w:val="18"/>
          <w:color w:val="auto"/>
        </w:rPr>
        <w:t>Nominating and Corporate Governance Committee Member</w:t>
      </w:r>
    </w:p>
    <w:p>
      <w:pPr>
        <w:spacing w:after="0" w:line="117" w:lineRule="exact"/>
        <w:rPr>
          <w:sz w:val="20"/>
          <w:szCs w:val="20"/>
          <w:color w:val="auto"/>
        </w:rPr>
      </w:pPr>
    </w:p>
    <w:p>
      <w:pPr>
        <w:jc w:val="both"/>
        <w:ind w:left="2860" w:right="20"/>
        <w:spacing w:after="0" w:line="257" w:lineRule="auto"/>
        <w:rPr>
          <w:sz w:val="20"/>
          <w:szCs w:val="20"/>
          <w:color w:val="auto"/>
        </w:rPr>
      </w:pPr>
      <w:r>
        <w:rPr>
          <w:rFonts w:ascii="Arial" w:cs="Arial" w:eastAsia="Arial" w:hAnsi="Arial"/>
          <w:sz w:val="18"/>
          <w:szCs w:val="18"/>
          <w:color w:val="auto"/>
        </w:rPr>
        <w:t>Mr. Tolley has served as one of our directors since June 2022 and was named Chairman of the Board in July 2023. Mr. Tolley is also a member of our audit committee and our nominating and corporate governance committee and serves as the chairman of our</w:t>
      </w:r>
    </w:p>
    <w:p>
      <w:pPr>
        <w:spacing w:after="0" w:line="1" w:lineRule="exact"/>
        <w:rPr>
          <w:sz w:val="20"/>
          <w:szCs w:val="20"/>
          <w:color w:val="auto"/>
        </w:rPr>
      </w:pPr>
    </w:p>
    <w:p>
      <w:pPr>
        <w:jc w:val="both"/>
        <w:ind w:left="700"/>
        <w:spacing w:after="0" w:line="251" w:lineRule="auto"/>
        <w:rPr>
          <w:sz w:val="20"/>
          <w:szCs w:val="20"/>
          <w:color w:val="auto"/>
        </w:rPr>
      </w:pPr>
      <w:r>
        <w:rPr>
          <w:rFonts w:ascii="Arial" w:cs="Arial" w:eastAsia="Arial" w:hAnsi="Arial"/>
          <w:sz w:val="18"/>
          <w:szCs w:val="18"/>
          <w:color w:val="auto"/>
        </w:rPr>
        <w:t>compensation committee. After joining the board of directors of WeWork, Inc., a leading global flexible space provider, in February 2023, Mr. Tolley served as its chief executive officer from May 2023 to June 2024. During his tenure at WeWork, Mr. Tolley guided the company through a complex global restructuring to position it for future growth, including the filing of a voluntary case under Chapter 11 of the United States Bankruptcy Code in November 2023, which concluded in June 2024. Previously, he served as executive vice president, chief financial officer and co-chief restructuring officer of Intelsat S.A. from June 2019 to March 2022, where he helped to lead a multi-billion dollar restructuring of one of the world’s largest satellite services providers. In May 2020, during Mr. Tolley’s tenure, Intelsat S.A. and its subsidiaries filed voluntary cases under Chapter 11 of the United States Bankruptcy Code, which concluded in February 2022. From 2017 to 2019, Mr. Tolley served as chief financial officer for Network Access Associates Ltd. (“OneWeb”), a leading global satellite constellation deployed in low Earth orbit (“LEO”). From 2000 to 2011, Mr. Tolley served as a senior managing director in the Private Equity Group at Blackstone Inc., a leading investment firm, where he led satellite services strategy and investing and served on the Private Equity Investment Committee. From 1990 to 2000, he was a vice president at Morgan Stanley, a leading financial services company, in the Investment Banking Division, where he provided banking and advisory services to established and emerging companies in the broader communications sector. He has served on the boards of directors of fourteen public and private companies, including WeWork, Inc. from February 2023 to June 2024, DigitalBridge Group from 2022 to the present, Cumulus Media from 2006 to 2017, NewSkies Satellites from 2004 to 2006 and Centennial Communications from 2001 to 2005. Mr. Tolley holds a Master of Business Administration degree from Columbia Business School and a Bachelor of Arts degree in Economics and History from the University of Michigan. Our nominating and corporate governance committee determined that Mr. Tolley should serve as a director because of his extensive satellite industry, corporate strategy and financial expertise.</w:t>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60" w:hanging="252"/>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17"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395796"/>
        </w:rPr>
        <w:t>PROPOSAL 1 – ELECTION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239395</wp:posOffset>
            </wp:positionV>
            <wp:extent cx="5906135" cy="1688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06135" cy="168846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395796"/>
        </w:rPr>
        <w:t>Stephen H. Deckoff</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Age: 60</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Director Nominee</w:t>
      </w:r>
    </w:p>
    <w:p>
      <w:pPr>
        <w:spacing w:after="0" w:line="117" w:lineRule="exact"/>
        <w:rPr>
          <w:sz w:val="20"/>
          <w:szCs w:val="20"/>
          <w:color w:val="auto"/>
        </w:rPr>
      </w:pPr>
    </w:p>
    <w:p>
      <w:pPr>
        <w:jc w:val="both"/>
        <w:ind w:left="2860"/>
        <w:spacing w:after="0" w:line="267" w:lineRule="auto"/>
        <w:rPr>
          <w:sz w:val="20"/>
          <w:szCs w:val="20"/>
          <w:color w:val="auto"/>
        </w:rPr>
      </w:pPr>
      <w:r>
        <w:rPr>
          <w:rFonts w:ascii="Arial" w:cs="Arial" w:eastAsia="Arial" w:hAnsi="Arial"/>
          <w:sz w:val="17"/>
          <w:szCs w:val="17"/>
          <w:color w:val="auto"/>
        </w:rPr>
        <w:t>Stephen H. Deckoff joined the KVH Board of Directors in June 2023. Prior to that, he held the position of board observer from February 2023 to June 2023. Mr. Deckoff has been the managing principal of Black Diamond Capital Management (“Black Diamond”), a privately held alternative asset management firm, since its founding in 1995. Prior to 1995, Mr. Deckoff was a senior vice president of Kidder, Peabody &amp; Co. Inc. (“Kidder”) and head of its Structured Finance Group. Prior to joining Kidder, Mr. Deckoff was a managing director in the Structured Finance Group at Bear Stearns &amp; Co., Inc. (“Bear Stearns”). Before joining Bear Stearns, Mr. Deckoff worked in the Structured Finance Department of Chemical Securities, Inc. and the Fixed Income Research Department at Drexel Burnham</w:t>
      </w:r>
    </w:p>
    <w:p>
      <w:pPr>
        <w:spacing w:after="0" w:line="5" w:lineRule="exact"/>
        <w:rPr>
          <w:sz w:val="20"/>
          <w:szCs w:val="20"/>
          <w:color w:val="auto"/>
        </w:rPr>
      </w:pPr>
    </w:p>
    <w:p>
      <w:pPr>
        <w:jc w:val="both"/>
        <w:ind w:left="700" w:right="20"/>
        <w:spacing w:after="0" w:line="253" w:lineRule="auto"/>
        <w:rPr>
          <w:sz w:val="20"/>
          <w:szCs w:val="20"/>
          <w:color w:val="auto"/>
        </w:rPr>
      </w:pPr>
      <w:r>
        <w:rPr>
          <w:rFonts w:ascii="Arial" w:cs="Arial" w:eastAsia="Arial" w:hAnsi="Arial"/>
          <w:sz w:val="18"/>
          <w:szCs w:val="18"/>
          <w:color w:val="auto"/>
        </w:rPr>
        <w:t>Lambert. Mr. Deckoff has held or currently holds board seats for a number of Black Diamond portfolio companies, including Consumer Portfolio Services, Inc., ION Media, Werner Ladder, White Birch, and Bayou Steel, among others, and he has held a board seat at Pacific National Bank, N.A., a privately chartered bank headquartered in Miami, since 2014. Mr. Deckoff has a B.S. in Operations Research from the Engineering School at Cornell University. Our nominating and corporate governance committee determined that Mr. Deckoff should serve as a director because of his extensive financial experience and expertise.</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Proxies will not be voted at the annual meeting for more than two candidates.</w:t>
      </w:r>
    </w:p>
    <w:p>
      <w:pPr>
        <w:spacing w:after="0" w:line="117" w:lineRule="exact"/>
        <w:rPr>
          <w:sz w:val="20"/>
          <w:szCs w:val="20"/>
          <w:color w:val="auto"/>
        </w:rPr>
      </w:pPr>
    </w:p>
    <w:p>
      <w:pPr>
        <w:jc w:val="both"/>
        <w:ind w:left="700" w:right="20"/>
        <w:spacing w:after="0" w:line="268" w:lineRule="auto"/>
        <w:rPr>
          <w:sz w:val="20"/>
          <w:szCs w:val="20"/>
          <w:color w:val="auto"/>
        </w:rPr>
      </w:pPr>
      <w:r>
        <w:rPr>
          <w:rFonts w:ascii="Arial" w:cs="Arial" w:eastAsia="Arial" w:hAnsi="Arial"/>
          <w:sz w:val="18"/>
          <w:szCs w:val="18"/>
          <w:color w:val="auto"/>
        </w:rPr>
        <w:t>Messrs. Tolley and Deckoff have agreed to serve if elected, and we have no reason to believe that they will be unable to serve. If either Mr. Tolley or Mr. Deckoff is unable or declines to serve as a director at the time of the annual meeting, proxy cards will be voted for another nominee that our Board of Directors will designate at that time.</w:t>
      </w:r>
    </w:p>
    <w:p>
      <w:pPr>
        <w:spacing w:after="0" w:line="63"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A majority of the votes properly cast at the annual meeting will be necessary to elect the Class III directors to a three-year term. In accordance with our director resignation policy, each of Messrs. Tolley and Deckoff has submitted his resignation in advance of the annual meeting, and his resignation will only become effective if (a) he fails to receive a majority of the votes properly cast on his re-election and (b) our board accepts his resignation. For more information about majority voting and our director resignation policy, please see “Board of Directors and Committees of the Board –  Corporate Governance – Majority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67945</wp:posOffset>
            </wp:positionV>
            <wp:extent cx="5948680" cy="4794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48680" cy="479425"/>
                    </a:xfrm>
                    <a:prstGeom prst="rect">
                      <a:avLst/>
                    </a:prstGeom>
                    <a:noFill/>
                  </pic:spPr>
                </pic:pic>
              </a:graphicData>
            </a:graphic>
          </wp:anchor>
        </w:drawing>
      </w:r>
    </w:p>
    <w:p>
      <w:pPr>
        <w:spacing w:after="0" w:line="108" w:lineRule="exact"/>
        <w:rPr>
          <w:sz w:val="20"/>
          <w:szCs w:val="20"/>
          <w:color w:val="auto"/>
        </w:rPr>
      </w:pPr>
    </w:p>
    <w:p>
      <w:pPr>
        <w:ind w:left="840" w:right="60" w:hanging="107"/>
        <w:spacing w:after="0" w:line="181" w:lineRule="auto"/>
        <w:rPr>
          <w:sz w:val="20"/>
          <w:szCs w:val="20"/>
          <w:color w:val="auto"/>
        </w:rPr>
      </w:pPr>
      <w:r>
        <w:rPr>
          <w:rFonts w:ascii="Arial" w:cs="Arial" w:eastAsia="Arial" w:hAnsi="Arial"/>
          <w:sz w:val="32"/>
          <w:szCs w:val="32"/>
          <w:b w:val="1"/>
          <w:bCs w:val="1"/>
          <w:color w:val="auto"/>
          <w:vertAlign w:val="superscript"/>
        </w:rPr>
        <w:t>​</w:t>
      </w:r>
      <w:r>
        <w:rPr>
          <w:rFonts w:ascii="Arial" w:cs="Arial" w:eastAsia="Arial" w:hAnsi="Arial"/>
          <w:sz w:val="17"/>
          <w:szCs w:val="17"/>
          <w:b w:val="1"/>
          <w:bCs w:val="1"/>
          <w:color w:val="auto"/>
        </w:rPr>
        <w:t xml:space="preserve"> Our board of directors unanimously recommends that you vote </w:t>
      </w:r>
      <w:r>
        <w:rPr>
          <w:rFonts w:ascii="Arial" w:cs="Arial" w:eastAsia="Arial" w:hAnsi="Arial"/>
          <w:sz w:val="17"/>
          <w:szCs w:val="17"/>
          <w:b w:val="1"/>
          <w:bCs w:val="1"/>
          <w:color w:val="395796"/>
        </w:rPr>
        <w:t>FOR</w:t>
      </w:r>
      <w:r>
        <w:rPr>
          <w:rFonts w:ascii="Arial" w:cs="Arial" w:eastAsia="Arial" w:hAnsi="Arial"/>
          <w:sz w:val="17"/>
          <w:szCs w:val="17"/>
          <w:b w:val="1"/>
          <w:bCs w:val="1"/>
          <w:color w:val="auto"/>
        </w:rPr>
        <w:t xml:space="preserve"> the election of David M. Tolley and Stephen H.</w:t>
      </w:r>
      <w:r>
        <w:rPr>
          <w:rFonts w:ascii="Arial" w:cs="Arial" w:eastAsia="Arial" w:hAnsi="Arial"/>
          <w:sz w:val="32"/>
          <w:szCs w:val="32"/>
          <w:b w:val="1"/>
          <w:bCs w:val="1"/>
          <w:color w:val="auto"/>
          <w:vertAlign w:val="superscript"/>
        </w:rPr>
        <w:t>​</w:t>
      </w:r>
      <w:r>
        <w:rPr>
          <w:rFonts w:ascii="Arial" w:cs="Arial" w:eastAsia="Arial" w:hAnsi="Arial"/>
          <w:sz w:val="17"/>
          <w:szCs w:val="17"/>
          <w:b w:val="1"/>
          <w:bCs w:val="1"/>
          <w:color w:val="auto"/>
        </w:rPr>
        <w:t xml:space="preserve"> Deckoff as Class III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380"/>
        <w:spacing w:after="0"/>
        <w:rPr>
          <w:sz w:val="20"/>
          <w:szCs w:val="20"/>
          <w:color w:val="auto"/>
        </w:rPr>
      </w:pPr>
      <w:r>
        <w:rPr>
          <w:rFonts w:ascii="Arial" w:cs="Arial" w:eastAsia="Arial" w:hAnsi="Arial"/>
          <w:sz w:val="18"/>
          <w:szCs w:val="18"/>
          <w:color w:val="395796"/>
        </w:rPr>
        <w:t xml:space="preserve">KVH Industries, Inc. 2026 Proxy Statement  </w:t>
      </w:r>
      <w:r>
        <w:rPr>
          <w:rFonts w:ascii="Arial" w:cs="Arial" w:eastAsia="Arial" w:hAnsi="Arial"/>
          <w:sz w:val="18"/>
          <w:szCs w:val="18"/>
          <w:color w:val="00000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386080</wp:posOffset>
            </wp:positionV>
            <wp:extent cx="102870" cy="325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386080</wp:posOffset>
            </wp:positionV>
            <wp:extent cx="102235" cy="325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235" cy="325755"/>
                    </a:xfrm>
                    <a:prstGeom prst="rect">
                      <a:avLst/>
                    </a:prstGeom>
                    <a:noFill/>
                  </pic:spPr>
                </pic:pic>
              </a:graphicData>
            </a:graphic>
          </wp:anchor>
        </w:drawing>
      </w:r>
    </w:p>
    <w:p>
      <w:pPr>
        <w:spacing w:after="0" w:line="311" w:lineRule="exact"/>
        <w:rPr>
          <w:sz w:val="20"/>
          <w:szCs w:val="20"/>
          <w:color w:val="auto"/>
        </w:rPr>
      </w:pPr>
    </w:p>
    <w:tbl>
      <w:tblPr>
        <w:tblLayout w:type="fixed"/>
        <w:tblInd w:w="700" w:type="dxa"/>
        <w:tblCellMar>
          <w:top w:w="0" w:type="dxa"/>
          <w:left w:w="0" w:type="dxa"/>
          <w:bottom w:w="0" w:type="dxa"/>
          <w:right w:w="0" w:type="dxa"/>
        </w:tblCellMar>
      </w:tblPr>
      <w:tr>
        <w:trPr>
          <w:trHeight w:val="368"/>
        </w:trPr>
        <w:tc>
          <w:tcPr>
            <w:tcW w:w="120" w:type="dxa"/>
            <w:vAlign w:val="bottom"/>
          </w:tcPr>
          <w:p>
            <w:pPr>
              <w:spacing w:after="0"/>
              <w:rPr>
                <w:sz w:val="20"/>
                <w:szCs w:val="20"/>
                <w:color w:val="auto"/>
              </w:rPr>
            </w:pPr>
            <w:r>
              <w:rPr>
                <w:rFonts w:ascii="Arial" w:cs="Arial" w:eastAsia="Arial" w:hAnsi="Arial"/>
                <w:sz w:val="32"/>
                <w:szCs w:val="32"/>
                <w:b w:val="1"/>
                <w:bCs w:val="1"/>
                <w:color w:val="FFFFFF"/>
              </w:rPr>
              <w:t>​</w:t>
            </w:r>
          </w:p>
        </w:tc>
        <w:tc>
          <w:tcPr>
            <w:tcW w:w="900" w:type="dxa"/>
            <w:vAlign w:val="bottom"/>
            <w:shd w:val="clear" w:color="auto" w:fill="395796"/>
          </w:tcPr>
          <w:p>
            <w:pPr>
              <w:spacing w:after="0"/>
              <w:rPr>
                <w:sz w:val="24"/>
                <w:szCs w:val="24"/>
                <w:color w:val="auto"/>
              </w:rPr>
            </w:pPr>
          </w:p>
        </w:tc>
        <w:tc>
          <w:tcPr>
            <w:tcW w:w="300" w:type="dxa"/>
            <w:vAlign w:val="bottom"/>
            <w:shd w:val="clear" w:color="auto" w:fill="395796"/>
          </w:tcPr>
          <w:p>
            <w:pPr>
              <w:spacing w:after="0"/>
              <w:rPr>
                <w:sz w:val="24"/>
                <w:szCs w:val="24"/>
                <w:color w:val="auto"/>
              </w:rPr>
            </w:pPr>
          </w:p>
        </w:tc>
        <w:tc>
          <w:tcPr>
            <w:tcW w:w="3440" w:type="dxa"/>
            <w:vAlign w:val="bottom"/>
            <w:shd w:val="clear" w:color="auto" w:fill="395796"/>
          </w:tcPr>
          <w:p>
            <w:pPr>
              <w:spacing w:after="0"/>
              <w:rPr>
                <w:sz w:val="24"/>
                <w:szCs w:val="24"/>
                <w:color w:val="auto"/>
              </w:rPr>
            </w:pPr>
          </w:p>
        </w:tc>
        <w:tc>
          <w:tcPr>
            <w:tcW w:w="1320" w:type="dxa"/>
            <w:vAlign w:val="bottom"/>
            <w:shd w:val="clear" w:color="auto" w:fill="395796"/>
          </w:tcPr>
          <w:p>
            <w:pPr>
              <w:spacing w:after="0"/>
              <w:rPr>
                <w:sz w:val="24"/>
                <w:szCs w:val="24"/>
                <w:color w:val="auto"/>
              </w:rPr>
            </w:pPr>
          </w:p>
        </w:tc>
        <w:tc>
          <w:tcPr>
            <w:tcW w:w="1740" w:type="dxa"/>
            <w:vAlign w:val="bottom"/>
            <w:shd w:val="clear" w:color="auto" w:fill="395796"/>
          </w:tcPr>
          <w:p>
            <w:pPr>
              <w:ind w:left="1460"/>
              <w:spacing w:after="0"/>
              <w:rPr>
                <w:sz w:val="20"/>
                <w:szCs w:val="20"/>
                <w:color w:val="auto"/>
              </w:rPr>
            </w:pPr>
            <w:r>
              <w:rPr>
                <w:rFonts w:ascii="Arial" w:cs="Arial" w:eastAsia="Arial" w:hAnsi="Arial"/>
                <w:sz w:val="18"/>
                <w:szCs w:val="18"/>
                <w:color w:val="FFFFFF"/>
              </w:rPr>
              <w:t>​</w:t>
            </w:r>
          </w:p>
        </w:tc>
        <w:tc>
          <w:tcPr>
            <w:tcW w:w="560" w:type="dxa"/>
            <w:vAlign w:val="bottom"/>
            <w:shd w:val="clear" w:color="auto" w:fill="395796"/>
          </w:tcPr>
          <w:p>
            <w:pPr>
              <w:spacing w:after="0"/>
              <w:rPr>
                <w:sz w:val="24"/>
                <w:szCs w:val="24"/>
                <w:color w:val="auto"/>
              </w:rPr>
            </w:pPr>
          </w:p>
        </w:tc>
        <w:tc>
          <w:tcPr>
            <w:tcW w:w="800" w:type="dxa"/>
            <w:vAlign w:val="bottom"/>
            <w:shd w:val="clear" w:color="auto" w:fill="395796"/>
          </w:tcPr>
          <w:p>
            <w:pPr>
              <w:spacing w:after="0"/>
              <w:rPr>
                <w:sz w:val="24"/>
                <w:szCs w:val="24"/>
                <w:color w:val="auto"/>
              </w:rPr>
            </w:pPr>
          </w:p>
        </w:tc>
        <w:tc>
          <w:tcPr>
            <w:tcW w:w="140" w:type="dxa"/>
            <w:vAlign w:val="bottom"/>
            <w:tcBorders>
              <w:right w:val="single" w:sz="8" w:color="395796"/>
            </w:tcBorders>
          </w:tcPr>
          <w:p>
            <w:pPr>
              <w:jc w:val="right"/>
              <w:spacing w:after="0"/>
              <w:rPr>
                <w:sz w:val="20"/>
                <w:szCs w:val="20"/>
                <w:color w:val="auto"/>
              </w:rPr>
            </w:pPr>
            <w:r>
              <w:rPr>
                <w:rFonts w:ascii="Arial" w:cs="Arial" w:eastAsia="Arial" w:hAnsi="Arial"/>
                <w:sz w:val="32"/>
                <w:szCs w:val="32"/>
                <w:b w:val="1"/>
                <w:bCs w:val="1"/>
                <w:color w:val="FFFFFF"/>
              </w:rPr>
              <w:t>​</w:t>
            </w:r>
          </w:p>
        </w:tc>
        <w:tc>
          <w:tcPr>
            <w:tcW w:w="0" w:type="dxa"/>
            <w:vAlign w:val="bottom"/>
          </w:tcPr>
          <w:p>
            <w:pPr>
              <w:spacing w:after="0"/>
              <w:rPr>
                <w:sz w:val="1"/>
                <w:szCs w:val="1"/>
                <w:color w:val="auto"/>
              </w:rPr>
            </w:pPr>
          </w:p>
        </w:tc>
      </w:tr>
      <w:tr>
        <w:trPr>
          <w:trHeight w:val="401"/>
        </w:trPr>
        <w:tc>
          <w:tcPr>
            <w:tcW w:w="120" w:type="dxa"/>
            <w:vAlign w:val="bottom"/>
          </w:tcPr>
          <w:p>
            <w:pPr>
              <w:spacing w:after="0"/>
              <w:rPr>
                <w:sz w:val="24"/>
                <w:szCs w:val="24"/>
                <w:color w:val="auto"/>
              </w:rPr>
            </w:pPr>
          </w:p>
        </w:tc>
        <w:tc>
          <w:tcPr>
            <w:tcW w:w="7700" w:type="dxa"/>
            <w:vAlign w:val="bottom"/>
            <w:gridSpan w:val="5"/>
            <w:shd w:val="clear" w:color="auto" w:fill="395796"/>
          </w:tcPr>
          <w:p>
            <w:pPr>
              <w:spacing w:after="0"/>
              <w:rPr>
                <w:sz w:val="20"/>
                <w:szCs w:val="20"/>
                <w:color w:val="auto"/>
              </w:rPr>
            </w:pPr>
            <w:r>
              <w:rPr>
                <w:rFonts w:ascii="Arial" w:cs="Arial" w:eastAsia="Arial" w:hAnsi="Arial"/>
                <w:sz w:val="32"/>
                <w:szCs w:val="32"/>
                <w:b w:val="1"/>
                <w:bCs w:val="1"/>
                <w:color w:val="FFFFFF"/>
              </w:rPr>
              <w:t>PROPOSAL 2 – NON-BINDING SAY ON PAY VOTE</w:t>
            </w:r>
          </w:p>
        </w:tc>
        <w:tc>
          <w:tcPr>
            <w:tcW w:w="560" w:type="dxa"/>
            <w:vAlign w:val="bottom"/>
            <w:shd w:val="clear" w:color="auto" w:fill="395796"/>
          </w:tcPr>
          <w:p>
            <w:pPr>
              <w:spacing w:after="0"/>
              <w:rPr>
                <w:sz w:val="24"/>
                <w:szCs w:val="24"/>
                <w:color w:val="auto"/>
              </w:rPr>
            </w:pPr>
          </w:p>
        </w:tc>
        <w:tc>
          <w:tcPr>
            <w:tcW w:w="800" w:type="dxa"/>
            <w:vAlign w:val="bottom"/>
            <w:shd w:val="clear" w:color="auto" w:fill="395796"/>
          </w:tcPr>
          <w:p>
            <w:pPr>
              <w:spacing w:after="0"/>
              <w:rPr>
                <w:sz w:val="24"/>
                <w:szCs w:val="24"/>
                <w:color w:val="auto"/>
              </w:rPr>
            </w:pPr>
          </w:p>
        </w:tc>
        <w:tc>
          <w:tcPr>
            <w:tcW w:w="140" w:type="dxa"/>
            <w:vAlign w:val="bottom"/>
            <w:tcBorders>
              <w:right w:val="single" w:sz="8" w:color="395796"/>
            </w:tcBorders>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760" w:type="dxa"/>
            <w:vAlign w:val="bottom"/>
            <w:gridSpan w:val="4"/>
          </w:tcPr>
          <w:p>
            <w:pPr>
              <w:spacing w:after="0"/>
              <w:rPr>
                <w:sz w:val="20"/>
                <w:szCs w:val="20"/>
                <w:color w:val="auto"/>
              </w:rPr>
            </w:pPr>
            <w:r>
              <w:rPr>
                <w:rFonts w:ascii="Arial" w:cs="Arial" w:eastAsia="Arial" w:hAnsi="Arial"/>
                <w:sz w:val="20"/>
                <w:szCs w:val="20"/>
                <w:b w:val="1"/>
                <w:bCs w:val="1"/>
                <w:color w:val="auto"/>
              </w:rPr>
              <w:t>Proposal 2 concerns an advisory vote on our</w:t>
            </w:r>
          </w:p>
        </w:tc>
        <w:tc>
          <w:tcPr>
            <w:tcW w:w="3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Annual Cash-based Incentive Compensation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In 2025,</w:t>
            </w:r>
          </w:p>
        </w:tc>
        <w:tc>
          <w:tcPr>
            <w:tcW w:w="0" w:type="dxa"/>
            <w:vAlign w:val="bottom"/>
          </w:tcPr>
          <w:p>
            <w:pPr>
              <w:spacing w:after="0"/>
              <w:rPr>
                <w:sz w:val="1"/>
                <w:szCs w:val="1"/>
                <w:color w:val="auto"/>
              </w:rPr>
            </w:pPr>
          </w:p>
        </w:tc>
      </w:tr>
      <w:tr>
        <w:trPr>
          <w:trHeight w:val="223"/>
        </w:trPr>
        <w:tc>
          <w:tcPr>
            <w:tcW w:w="4760" w:type="dxa"/>
            <w:vAlign w:val="bottom"/>
            <w:gridSpan w:val="4"/>
          </w:tcPr>
          <w:p>
            <w:pPr>
              <w:spacing w:after="0" w:line="223" w:lineRule="exact"/>
              <w:rPr>
                <w:sz w:val="20"/>
                <w:szCs w:val="20"/>
                <w:color w:val="auto"/>
              </w:rPr>
            </w:pPr>
            <w:r>
              <w:rPr>
                <w:rFonts w:ascii="Arial" w:cs="Arial" w:eastAsia="Arial" w:hAnsi="Arial"/>
                <w:sz w:val="20"/>
                <w:szCs w:val="20"/>
                <w:b w:val="1"/>
                <w:bCs w:val="1"/>
                <w:color w:val="auto"/>
              </w:rPr>
              <w:t>executive compensation program.</w:t>
            </w:r>
          </w:p>
        </w:tc>
        <w:tc>
          <w:tcPr>
            <w:tcW w:w="4560" w:type="dxa"/>
            <w:vAlign w:val="bottom"/>
            <w:gridSpan w:val="5"/>
          </w:tcPr>
          <w:p>
            <w:pPr>
              <w:spacing w:after="0"/>
              <w:rPr>
                <w:sz w:val="20"/>
                <w:szCs w:val="20"/>
                <w:color w:val="auto"/>
              </w:rPr>
            </w:pPr>
            <w:r>
              <w:rPr>
                <w:rFonts w:ascii="Arial" w:cs="Arial" w:eastAsia="Arial" w:hAnsi="Arial"/>
                <w:sz w:val="18"/>
                <w:szCs w:val="18"/>
                <w:color w:val="auto"/>
              </w:rPr>
              <w:t>we  continued  to  utilize  a  cash-based  incentive</w:t>
            </w:r>
          </w:p>
        </w:tc>
        <w:tc>
          <w:tcPr>
            <w:tcW w:w="0" w:type="dxa"/>
            <w:vAlign w:val="bottom"/>
          </w:tcPr>
          <w:p>
            <w:pPr>
              <w:spacing w:after="0"/>
              <w:rPr>
                <w:sz w:val="1"/>
                <w:szCs w:val="1"/>
                <w:color w:val="auto"/>
              </w:rPr>
            </w:pPr>
          </w:p>
        </w:tc>
      </w:tr>
      <w:tr>
        <w:trPr>
          <w:trHeight w:val="157"/>
        </w:trPr>
        <w:tc>
          <w:tcPr>
            <w:tcW w:w="4760" w:type="dxa"/>
            <w:vAlign w:val="bottom"/>
            <w:gridSpan w:val="4"/>
            <w:vMerge w:val="restart"/>
          </w:tcPr>
          <w:p>
            <w:pPr>
              <w:spacing w:after="0"/>
              <w:rPr>
                <w:sz w:val="20"/>
                <w:szCs w:val="20"/>
                <w:color w:val="auto"/>
              </w:rPr>
            </w:pPr>
            <w:r>
              <w:rPr>
                <w:rFonts w:ascii="Arial" w:cs="Arial" w:eastAsia="Arial" w:hAnsi="Arial"/>
                <w:sz w:val="18"/>
                <w:szCs w:val="18"/>
                <w:color w:val="auto"/>
              </w:rPr>
              <w:t>Under the Dodd-Frank Wall Street Reform and Consumer</w:t>
            </w:r>
          </w:p>
        </w:tc>
        <w:tc>
          <w:tcPr>
            <w:tcW w:w="4560" w:type="dxa"/>
            <w:vAlign w:val="bottom"/>
            <w:gridSpan w:val="5"/>
          </w:tcPr>
          <w:p>
            <w:pPr>
              <w:spacing w:after="0" w:line="157" w:lineRule="exact"/>
              <w:rPr>
                <w:sz w:val="20"/>
                <w:szCs w:val="20"/>
                <w:color w:val="auto"/>
              </w:rPr>
            </w:pPr>
            <w:r>
              <w:rPr>
                <w:rFonts w:ascii="Arial" w:cs="Arial" w:eastAsia="Arial" w:hAnsi="Arial"/>
                <w:sz w:val="18"/>
                <w:szCs w:val="18"/>
                <w:color w:val="auto"/>
              </w:rPr>
              <w:t>compensation  plan  that  tied  executive  pay  to  the</w:t>
            </w:r>
          </w:p>
        </w:tc>
        <w:tc>
          <w:tcPr>
            <w:tcW w:w="0" w:type="dxa"/>
            <w:vAlign w:val="bottom"/>
          </w:tcPr>
          <w:p>
            <w:pPr>
              <w:spacing w:after="0"/>
              <w:rPr>
                <w:sz w:val="1"/>
                <w:szCs w:val="1"/>
                <w:color w:val="auto"/>
              </w:rPr>
            </w:pPr>
          </w:p>
        </w:tc>
      </w:tr>
      <w:tr>
        <w:trPr>
          <w:trHeight w:val="181"/>
        </w:trPr>
        <w:tc>
          <w:tcPr>
            <w:tcW w:w="4760" w:type="dxa"/>
            <w:vAlign w:val="bottom"/>
            <w:gridSpan w:val="4"/>
            <w:vMerge w:val="continue"/>
          </w:tcPr>
          <w:p>
            <w:pPr>
              <w:spacing w:after="0"/>
              <w:rPr>
                <w:sz w:val="15"/>
                <w:szCs w:val="15"/>
                <w:color w:val="auto"/>
              </w:rPr>
            </w:pPr>
          </w:p>
        </w:tc>
        <w:tc>
          <w:tcPr>
            <w:tcW w:w="4560" w:type="dxa"/>
            <w:vAlign w:val="bottom"/>
            <w:gridSpan w:val="5"/>
          </w:tcPr>
          <w:p>
            <w:pPr>
              <w:spacing w:after="0" w:line="181" w:lineRule="exact"/>
              <w:rPr>
                <w:sz w:val="20"/>
                <w:szCs w:val="20"/>
                <w:color w:val="auto"/>
              </w:rPr>
            </w:pPr>
            <w:r>
              <w:rPr>
                <w:rFonts w:ascii="Arial" w:cs="Arial" w:eastAsia="Arial" w:hAnsi="Arial"/>
                <w:sz w:val="18"/>
                <w:szCs w:val="18"/>
                <w:color w:val="auto"/>
              </w:rPr>
              <w:t>achievement of our corporate performance goals and</w:t>
            </w:r>
          </w:p>
        </w:tc>
        <w:tc>
          <w:tcPr>
            <w:tcW w:w="0" w:type="dxa"/>
            <w:vAlign w:val="bottom"/>
          </w:tcPr>
          <w:p>
            <w:pPr>
              <w:spacing w:after="0"/>
              <w:rPr>
                <w:sz w:val="1"/>
                <w:szCs w:val="1"/>
                <w:color w:val="auto"/>
              </w:rPr>
            </w:pPr>
          </w:p>
        </w:tc>
      </w:tr>
      <w:tr>
        <w:trPr>
          <w:trHeight w:val="202"/>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Protection Act, or the Dodd-Frank Act, and Section 14A of</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certain  individual  performance  goals.  The  incentive</w:t>
            </w:r>
          </w:p>
        </w:tc>
        <w:tc>
          <w:tcPr>
            <w:tcW w:w="0" w:type="dxa"/>
            <w:vAlign w:val="bottom"/>
          </w:tcPr>
          <w:p>
            <w:pPr>
              <w:spacing w:after="0"/>
              <w:rPr>
                <w:sz w:val="1"/>
                <w:szCs w:val="1"/>
                <w:color w:val="auto"/>
              </w:rPr>
            </w:pPr>
          </w:p>
        </w:tc>
      </w:tr>
      <w:tr>
        <w:trPr>
          <w:trHeight w:val="189"/>
        </w:trPr>
        <w:tc>
          <w:tcPr>
            <w:tcW w:w="4760" w:type="dxa"/>
            <w:vAlign w:val="bottom"/>
            <w:gridSpan w:val="4"/>
          </w:tcPr>
          <w:p>
            <w:pPr>
              <w:spacing w:after="0" w:line="189" w:lineRule="exact"/>
              <w:rPr>
                <w:sz w:val="20"/>
                <w:szCs w:val="20"/>
                <w:color w:val="auto"/>
              </w:rPr>
            </w:pPr>
            <w:r>
              <w:rPr>
                <w:rFonts w:ascii="Arial" w:cs="Arial" w:eastAsia="Arial" w:hAnsi="Arial"/>
                <w:sz w:val="18"/>
                <w:szCs w:val="18"/>
                <w:color w:val="auto"/>
              </w:rPr>
              <w:t>the Securities Exchange Act of 1934, as amended, or the</w:t>
            </w:r>
          </w:p>
        </w:tc>
        <w:tc>
          <w:tcPr>
            <w:tcW w:w="4560" w:type="dxa"/>
            <w:vAlign w:val="bottom"/>
            <w:gridSpan w:val="5"/>
          </w:tcPr>
          <w:p>
            <w:pPr>
              <w:spacing w:after="0" w:line="189" w:lineRule="exact"/>
              <w:rPr>
                <w:sz w:val="20"/>
                <w:szCs w:val="20"/>
                <w:color w:val="auto"/>
              </w:rPr>
            </w:pPr>
            <w:r>
              <w:rPr>
                <w:rFonts w:ascii="Arial" w:cs="Arial" w:eastAsia="Arial" w:hAnsi="Arial"/>
                <w:sz w:val="18"/>
                <w:szCs w:val="18"/>
                <w:color w:val="auto"/>
              </w:rPr>
              <w:t>program was intended to award compensation based on</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Exchange Act, our stockholders are entitled to vote to</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the degree to which our actual financial results met the</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approve  the  compensation  of  our  named  executive</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financial goals of our internal business plan and the</w:t>
            </w:r>
          </w:p>
        </w:tc>
        <w:tc>
          <w:tcPr>
            <w:tcW w:w="0" w:type="dxa"/>
            <w:vAlign w:val="bottom"/>
          </w:tcPr>
          <w:p>
            <w:pPr>
              <w:spacing w:after="0"/>
              <w:rPr>
                <w:sz w:val="1"/>
                <w:szCs w:val="1"/>
                <w:color w:val="auto"/>
              </w:rPr>
            </w:pPr>
          </w:p>
        </w:tc>
      </w:tr>
      <w:tr>
        <w:trPr>
          <w:trHeight w:val="189"/>
        </w:trPr>
        <w:tc>
          <w:tcPr>
            <w:tcW w:w="4760" w:type="dxa"/>
            <w:vAlign w:val="bottom"/>
            <w:gridSpan w:val="4"/>
          </w:tcPr>
          <w:p>
            <w:pPr>
              <w:spacing w:after="0" w:line="189" w:lineRule="exact"/>
              <w:rPr>
                <w:sz w:val="20"/>
                <w:szCs w:val="20"/>
                <w:color w:val="auto"/>
              </w:rPr>
            </w:pPr>
            <w:r>
              <w:rPr>
                <w:rFonts w:ascii="Arial" w:cs="Arial" w:eastAsia="Arial" w:hAnsi="Arial"/>
                <w:sz w:val="18"/>
                <w:szCs w:val="18"/>
                <w:color w:val="auto"/>
              </w:rPr>
              <w:t>officers at least once every three years. This proposal is</w:t>
            </w:r>
          </w:p>
        </w:tc>
        <w:tc>
          <w:tcPr>
            <w:tcW w:w="4560" w:type="dxa"/>
            <w:vAlign w:val="bottom"/>
            <w:gridSpan w:val="5"/>
          </w:tcPr>
          <w:p>
            <w:pPr>
              <w:spacing w:after="0" w:line="189" w:lineRule="exact"/>
              <w:rPr>
                <w:sz w:val="20"/>
                <w:szCs w:val="20"/>
                <w:color w:val="auto"/>
              </w:rPr>
            </w:pPr>
            <w:r>
              <w:rPr>
                <w:rFonts w:ascii="Arial" w:cs="Arial" w:eastAsia="Arial" w:hAnsi="Arial"/>
                <w:sz w:val="18"/>
                <w:szCs w:val="18"/>
                <w:color w:val="auto"/>
              </w:rPr>
              <w:t>degree  to  which  the  executives  met  their  individual</w:t>
            </w:r>
          </w:p>
        </w:tc>
        <w:tc>
          <w:tcPr>
            <w:tcW w:w="0" w:type="dxa"/>
            <w:vAlign w:val="bottom"/>
          </w:tcPr>
          <w:p>
            <w:pPr>
              <w:spacing w:after="0"/>
              <w:rPr>
                <w:sz w:val="1"/>
                <w:szCs w:val="1"/>
                <w:color w:val="auto"/>
              </w:rPr>
            </w:pPr>
          </w:p>
        </w:tc>
      </w:tr>
      <w:tr>
        <w:trPr>
          <w:trHeight w:val="261"/>
        </w:trPr>
        <w:tc>
          <w:tcPr>
            <w:tcW w:w="4760" w:type="dxa"/>
            <w:vAlign w:val="bottom"/>
            <w:gridSpan w:val="4"/>
          </w:tcPr>
          <w:p>
            <w:pPr>
              <w:spacing w:after="0"/>
              <w:rPr>
                <w:sz w:val="20"/>
                <w:szCs w:val="20"/>
                <w:color w:val="auto"/>
              </w:rPr>
            </w:pPr>
            <w:r>
              <w:rPr>
                <w:rFonts w:ascii="Arial" w:cs="Arial" w:eastAsia="Arial" w:hAnsi="Arial"/>
                <w:sz w:val="18"/>
                <w:szCs w:val="18"/>
                <w:color w:val="auto"/>
              </w:rPr>
              <w:t>commonly referred to as a “say on pay” proposal.</w:t>
            </w:r>
          </w:p>
        </w:tc>
        <w:tc>
          <w:tcPr>
            <w:tcW w:w="3060" w:type="dxa"/>
            <w:vAlign w:val="bottom"/>
            <w:gridSpan w:val="2"/>
          </w:tcPr>
          <w:p>
            <w:pPr>
              <w:spacing w:after="0"/>
              <w:rPr>
                <w:sz w:val="20"/>
                <w:szCs w:val="20"/>
                <w:color w:val="auto"/>
              </w:rPr>
            </w:pPr>
            <w:r>
              <w:rPr>
                <w:rFonts w:ascii="Arial" w:cs="Arial" w:eastAsia="Arial" w:hAnsi="Arial"/>
                <w:sz w:val="18"/>
                <w:szCs w:val="18"/>
                <w:color w:val="auto"/>
              </w:rPr>
              <w:t>performance goals.</w:t>
            </w: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760" w:type="dxa"/>
            <w:vAlign w:val="bottom"/>
            <w:gridSpan w:val="4"/>
          </w:tcPr>
          <w:p>
            <w:pPr>
              <w:spacing w:after="0"/>
              <w:rPr>
                <w:sz w:val="20"/>
                <w:szCs w:val="20"/>
                <w:color w:val="auto"/>
              </w:rPr>
            </w:pPr>
            <w:r>
              <w:rPr>
                <w:rFonts w:ascii="Arial" w:cs="Arial" w:eastAsia="Arial" w:hAnsi="Arial"/>
                <w:sz w:val="18"/>
                <w:szCs w:val="18"/>
                <w:color w:val="auto"/>
              </w:rPr>
              <w:t>At  our  2023  annual  meeting  of  stockholders,  our</w:t>
            </w:r>
          </w:p>
        </w:tc>
        <w:tc>
          <w:tcPr>
            <w:tcW w:w="4560" w:type="dxa"/>
            <w:vAlign w:val="bottom"/>
            <w:gridSpan w:val="5"/>
          </w:tcPr>
          <w:p>
            <w:pPr>
              <w:spacing w:after="0"/>
              <w:rPr>
                <w:sz w:val="20"/>
                <w:szCs w:val="20"/>
                <w:color w:val="auto"/>
              </w:rPr>
            </w:pPr>
            <w:r>
              <w:rPr>
                <w:rFonts w:ascii="Arial" w:cs="Arial" w:eastAsia="Arial" w:hAnsi="Arial"/>
                <w:sz w:val="18"/>
                <w:szCs w:val="18"/>
                <w:color w:val="auto"/>
              </w:rPr>
              <w:t>As in prior years, in 2025 we had a non-equity incentive</w:t>
            </w:r>
          </w:p>
        </w:tc>
        <w:tc>
          <w:tcPr>
            <w:tcW w:w="0" w:type="dxa"/>
            <w:vAlign w:val="bottom"/>
          </w:tcPr>
          <w:p>
            <w:pPr>
              <w:spacing w:after="0"/>
              <w:rPr>
                <w:sz w:val="1"/>
                <w:szCs w:val="1"/>
                <w:color w:val="auto"/>
              </w:rPr>
            </w:pPr>
          </w:p>
        </w:tc>
      </w:tr>
      <w:tr>
        <w:trPr>
          <w:trHeight w:val="189"/>
        </w:trPr>
        <w:tc>
          <w:tcPr>
            <w:tcW w:w="4760" w:type="dxa"/>
            <w:vAlign w:val="bottom"/>
            <w:gridSpan w:val="4"/>
          </w:tcPr>
          <w:p>
            <w:pPr>
              <w:spacing w:after="0" w:line="189" w:lineRule="exact"/>
              <w:rPr>
                <w:sz w:val="20"/>
                <w:szCs w:val="20"/>
                <w:color w:val="auto"/>
              </w:rPr>
            </w:pPr>
            <w:r>
              <w:rPr>
                <w:rFonts w:ascii="Arial" w:cs="Arial" w:eastAsia="Arial" w:hAnsi="Arial"/>
                <w:sz w:val="18"/>
                <w:szCs w:val="18"/>
                <w:color w:val="auto"/>
              </w:rPr>
              <w:t>stockholders voted in favor of holding future “say on pay”</w:t>
            </w:r>
          </w:p>
        </w:tc>
        <w:tc>
          <w:tcPr>
            <w:tcW w:w="4560" w:type="dxa"/>
            <w:vAlign w:val="bottom"/>
            <w:gridSpan w:val="5"/>
          </w:tcPr>
          <w:p>
            <w:pPr>
              <w:spacing w:after="0" w:line="189" w:lineRule="exact"/>
              <w:rPr>
                <w:sz w:val="20"/>
                <w:szCs w:val="20"/>
                <w:color w:val="auto"/>
              </w:rPr>
            </w:pPr>
            <w:r>
              <w:rPr>
                <w:rFonts w:ascii="Arial" w:cs="Arial" w:eastAsia="Arial" w:hAnsi="Arial"/>
                <w:sz w:val="18"/>
                <w:szCs w:val="18"/>
                <w:color w:val="auto"/>
              </w:rPr>
              <w:t>compensation  plan  intended  to  reward  our  named</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votes every year, as recommended by our board of</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executive officers for achievement of both individual and</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directors. At the 2025 annual meeting, approximately</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corporate performance goals. In determining the cash</w:t>
            </w:r>
          </w:p>
        </w:tc>
        <w:tc>
          <w:tcPr>
            <w:tcW w:w="0" w:type="dxa"/>
            <w:vAlign w:val="bottom"/>
          </w:tcPr>
          <w:p>
            <w:pPr>
              <w:spacing w:after="0"/>
              <w:rPr>
                <w:sz w:val="1"/>
                <w:szCs w:val="1"/>
                <w:color w:val="auto"/>
              </w:rPr>
            </w:pPr>
          </w:p>
        </w:tc>
      </w:tr>
      <w:tr>
        <w:trPr>
          <w:trHeight w:val="189"/>
        </w:trPr>
        <w:tc>
          <w:tcPr>
            <w:tcW w:w="4760" w:type="dxa"/>
            <w:vAlign w:val="bottom"/>
            <w:gridSpan w:val="4"/>
          </w:tcPr>
          <w:p>
            <w:pPr>
              <w:spacing w:after="0" w:line="189" w:lineRule="exact"/>
              <w:rPr>
                <w:sz w:val="20"/>
                <w:szCs w:val="20"/>
                <w:color w:val="auto"/>
              </w:rPr>
            </w:pPr>
            <w:r>
              <w:rPr>
                <w:rFonts w:ascii="Arial" w:cs="Arial" w:eastAsia="Arial" w:hAnsi="Arial"/>
                <w:sz w:val="18"/>
                <w:szCs w:val="18"/>
                <w:color w:val="auto"/>
              </w:rPr>
              <w:t>92.6% of the votes cast on the non-binding proposal to</w:t>
            </w:r>
          </w:p>
        </w:tc>
        <w:tc>
          <w:tcPr>
            <w:tcW w:w="4560" w:type="dxa"/>
            <w:vAlign w:val="bottom"/>
            <w:gridSpan w:val="5"/>
          </w:tcPr>
          <w:p>
            <w:pPr>
              <w:spacing w:after="0" w:line="189" w:lineRule="exact"/>
              <w:rPr>
                <w:sz w:val="20"/>
                <w:szCs w:val="20"/>
                <w:color w:val="auto"/>
              </w:rPr>
            </w:pPr>
            <w:r>
              <w:rPr>
                <w:rFonts w:ascii="Arial" w:cs="Arial" w:eastAsia="Arial" w:hAnsi="Arial"/>
                <w:sz w:val="18"/>
                <w:szCs w:val="18"/>
                <w:color w:val="auto"/>
                <w:w w:val="98"/>
              </w:rPr>
              <w:t>bonus awarded to each named executive officer for 2025,</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approve our executive compensation for 2024 were voted</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individual performance goals represented 20% of each</w:t>
            </w:r>
          </w:p>
        </w:tc>
        <w:tc>
          <w:tcPr>
            <w:tcW w:w="0" w:type="dxa"/>
            <w:vAlign w:val="bottom"/>
          </w:tcPr>
          <w:p>
            <w:pPr>
              <w:spacing w:after="0"/>
              <w:rPr>
                <w:sz w:val="1"/>
                <w:szCs w:val="1"/>
                <w:color w:val="auto"/>
              </w:rPr>
            </w:pPr>
          </w:p>
        </w:tc>
      </w:tr>
      <w:tr>
        <w:trPr>
          <w:trHeight w:val="211"/>
        </w:trPr>
        <w:tc>
          <w:tcPr>
            <w:tcW w:w="4760" w:type="dxa"/>
            <w:vAlign w:val="bottom"/>
            <w:gridSpan w:val="4"/>
          </w:tcPr>
          <w:p>
            <w:pPr>
              <w:spacing w:after="0"/>
              <w:rPr>
                <w:sz w:val="20"/>
                <w:szCs w:val="20"/>
                <w:color w:val="auto"/>
              </w:rPr>
            </w:pPr>
            <w:r>
              <w:rPr>
                <w:rFonts w:ascii="Arial" w:cs="Arial" w:eastAsia="Arial" w:hAnsi="Arial"/>
                <w:sz w:val="18"/>
                <w:szCs w:val="18"/>
                <w:color w:val="auto"/>
              </w:rPr>
              <w:t>in favor of approval.</w:t>
            </w:r>
          </w:p>
        </w:tc>
        <w:tc>
          <w:tcPr>
            <w:tcW w:w="4560" w:type="dxa"/>
            <w:vAlign w:val="bottom"/>
            <w:gridSpan w:val="5"/>
          </w:tcPr>
          <w:p>
            <w:pPr>
              <w:spacing w:after="0"/>
              <w:rPr>
                <w:sz w:val="20"/>
                <w:szCs w:val="20"/>
                <w:color w:val="auto"/>
              </w:rPr>
            </w:pPr>
            <w:r>
              <w:rPr>
                <w:rFonts w:ascii="Arial" w:cs="Arial" w:eastAsia="Arial" w:hAnsi="Arial"/>
                <w:sz w:val="18"/>
                <w:szCs w:val="18"/>
                <w:color w:val="auto"/>
              </w:rPr>
              <w:t>named executive officer’s target bonus opportunity while</w:t>
            </w:r>
          </w:p>
        </w:tc>
        <w:tc>
          <w:tcPr>
            <w:tcW w:w="0" w:type="dxa"/>
            <w:vAlign w:val="bottom"/>
          </w:tcPr>
          <w:p>
            <w:pPr>
              <w:spacing w:after="0"/>
              <w:rPr>
                <w:sz w:val="1"/>
                <w:szCs w:val="1"/>
                <w:color w:val="auto"/>
              </w:rPr>
            </w:pPr>
          </w:p>
        </w:tc>
      </w:tr>
      <w:tr>
        <w:trPr>
          <w:trHeight w:val="203"/>
        </w:trPr>
        <w:tc>
          <w:tcPr>
            <w:tcW w:w="4760" w:type="dxa"/>
            <w:vAlign w:val="bottom"/>
            <w:gridSpan w:val="4"/>
            <w:vMerge w:val="restart"/>
          </w:tcPr>
          <w:p>
            <w:pPr>
              <w:spacing w:after="0"/>
              <w:rPr>
                <w:sz w:val="20"/>
                <w:szCs w:val="20"/>
                <w:color w:val="auto"/>
              </w:rPr>
            </w:pPr>
            <w:r>
              <w:rPr>
                <w:rFonts w:ascii="Arial" w:cs="Arial" w:eastAsia="Arial" w:hAnsi="Arial"/>
                <w:sz w:val="18"/>
                <w:szCs w:val="18"/>
                <w:color w:val="auto"/>
              </w:rPr>
              <w:t>As set forth in more detail in the executive compensation</w:t>
            </w:r>
          </w:p>
        </w:tc>
        <w:tc>
          <w:tcPr>
            <w:tcW w:w="1320" w:type="dxa"/>
            <w:vAlign w:val="bottom"/>
          </w:tcPr>
          <w:p>
            <w:pPr>
              <w:spacing w:after="0" w:line="202" w:lineRule="exact"/>
              <w:rPr>
                <w:sz w:val="20"/>
                <w:szCs w:val="20"/>
                <w:color w:val="auto"/>
              </w:rPr>
            </w:pPr>
            <w:r>
              <w:rPr>
                <w:rFonts w:ascii="Arial" w:cs="Arial" w:eastAsia="Arial" w:hAnsi="Arial"/>
                <w:sz w:val="18"/>
                <w:szCs w:val="18"/>
                <w:color w:val="auto"/>
              </w:rPr>
              <w:t>the  corporate</w:t>
            </w:r>
          </w:p>
        </w:tc>
        <w:tc>
          <w:tcPr>
            <w:tcW w:w="1740" w:type="dxa"/>
            <w:vAlign w:val="bottom"/>
          </w:tcPr>
          <w:p>
            <w:pPr>
              <w:ind w:left="60"/>
              <w:spacing w:after="0" w:line="202" w:lineRule="exact"/>
              <w:rPr>
                <w:sz w:val="20"/>
                <w:szCs w:val="20"/>
                <w:color w:val="auto"/>
              </w:rPr>
            </w:pPr>
            <w:r>
              <w:rPr>
                <w:rFonts w:ascii="Arial" w:cs="Arial" w:eastAsia="Arial" w:hAnsi="Arial"/>
                <w:sz w:val="18"/>
                <w:szCs w:val="18"/>
                <w:color w:val="auto"/>
              </w:rPr>
              <w:t>performance  goals</w:t>
            </w: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represented  the</w:t>
            </w:r>
          </w:p>
        </w:tc>
        <w:tc>
          <w:tcPr>
            <w:tcW w:w="0" w:type="dxa"/>
            <w:vAlign w:val="bottom"/>
          </w:tcPr>
          <w:p>
            <w:pPr>
              <w:spacing w:after="0"/>
              <w:rPr>
                <w:sz w:val="1"/>
                <w:szCs w:val="1"/>
                <w:color w:val="auto"/>
              </w:rPr>
            </w:pPr>
          </w:p>
        </w:tc>
      </w:tr>
      <w:tr>
        <w:trPr>
          <w:trHeight w:val="68"/>
        </w:trPr>
        <w:tc>
          <w:tcPr>
            <w:tcW w:w="4760" w:type="dxa"/>
            <w:vAlign w:val="bottom"/>
            <w:gridSpan w:val="4"/>
            <w:vMerge w:val="continue"/>
          </w:tcPr>
          <w:p>
            <w:pPr>
              <w:spacing w:after="0"/>
              <w:rPr>
                <w:sz w:val="5"/>
                <w:szCs w:val="5"/>
                <w:color w:val="auto"/>
              </w:rPr>
            </w:pPr>
          </w:p>
        </w:tc>
        <w:tc>
          <w:tcPr>
            <w:tcW w:w="456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remaining 80% of each named executive officer’s target</w:t>
            </w:r>
          </w:p>
        </w:tc>
        <w:tc>
          <w:tcPr>
            <w:tcW w:w="0" w:type="dxa"/>
            <w:vAlign w:val="bottom"/>
          </w:tcPr>
          <w:p>
            <w:pPr>
              <w:spacing w:after="0"/>
              <w:rPr>
                <w:sz w:val="1"/>
                <w:szCs w:val="1"/>
                <w:color w:val="auto"/>
              </w:rPr>
            </w:pPr>
          </w:p>
        </w:tc>
      </w:tr>
      <w:tr>
        <w:trPr>
          <w:trHeight w:val="135"/>
        </w:trPr>
        <w:tc>
          <w:tcPr>
            <w:tcW w:w="4760" w:type="dxa"/>
            <w:vAlign w:val="bottom"/>
            <w:gridSpan w:val="4"/>
            <w:vMerge w:val="restart"/>
          </w:tcPr>
          <w:p>
            <w:pPr>
              <w:spacing w:after="0" w:line="202" w:lineRule="exact"/>
              <w:rPr>
                <w:sz w:val="20"/>
                <w:szCs w:val="20"/>
                <w:color w:val="auto"/>
              </w:rPr>
            </w:pPr>
            <w:r>
              <w:rPr>
                <w:rFonts w:ascii="Arial" w:cs="Arial" w:eastAsia="Arial" w:hAnsi="Arial"/>
                <w:sz w:val="18"/>
                <w:szCs w:val="18"/>
                <w:color w:val="auto"/>
              </w:rPr>
              <w:t>tables  and  the  accompanying  narrative  disclosure</w:t>
            </w:r>
          </w:p>
        </w:tc>
        <w:tc>
          <w:tcPr>
            <w:tcW w:w="45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760" w:type="dxa"/>
            <w:vAlign w:val="bottom"/>
            <w:gridSpan w:val="4"/>
            <w:vMerge w:val="continue"/>
          </w:tcPr>
          <w:p>
            <w:pPr>
              <w:spacing w:after="0"/>
              <w:rPr>
                <w:sz w:val="5"/>
                <w:szCs w:val="5"/>
                <w:color w:val="auto"/>
              </w:rPr>
            </w:pPr>
          </w:p>
        </w:tc>
        <w:tc>
          <w:tcPr>
            <w:tcW w:w="3060" w:type="dxa"/>
            <w:vAlign w:val="bottom"/>
            <w:gridSpan w:val="2"/>
            <w:vMerge w:val="restart"/>
          </w:tcPr>
          <w:p>
            <w:pPr>
              <w:spacing w:after="0"/>
              <w:rPr>
                <w:sz w:val="20"/>
                <w:szCs w:val="20"/>
                <w:color w:val="auto"/>
              </w:rPr>
            </w:pPr>
            <w:r>
              <w:rPr>
                <w:rFonts w:ascii="Arial" w:cs="Arial" w:eastAsia="Arial" w:hAnsi="Arial"/>
                <w:sz w:val="18"/>
                <w:szCs w:val="18"/>
                <w:color w:val="auto"/>
              </w:rPr>
              <w:t>bonus opportunity.</w:t>
            </w:r>
          </w:p>
        </w:tc>
        <w:tc>
          <w:tcPr>
            <w:tcW w:w="5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elsewhere in this proxy statement, we have designed our</w:t>
            </w:r>
          </w:p>
        </w:tc>
        <w:tc>
          <w:tcPr>
            <w:tcW w:w="306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760" w:type="dxa"/>
            <w:vAlign w:val="bottom"/>
            <w:gridSpan w:val="4"/>
          </w:tcPr>
          <w:p>
            <w:pPr>
              <w:spacing w:after="0"/>
              <w:rPr>
                <w:sz w:val="20"/>
                <w:szCs w:val="20"/>
                <w:color w:val="auto"/>
              </w:rPr>
            </w:pPr>
            <w:r>
              <w:rPr>
                <w:rFonts w:ascii="Arial" w:cs="Arial" w:eastAsia="Arial" w:hAnsi="Arial"/>
                <w:sz w:val="18"/>
                <w:szCs w:val="18"/>
                <w:color w:val="auto"/>
              </w:rPr>
              <w:t>executive   compensation   program   to   provide   an</w:t>
            </w:r>
          </w:p>
        </w:tc>
        <w:tc>
          <w:tcPr>
            <w:tcW w:w="4560" w:type="dxa"/>
            <w:vAlign w:val="bottom"/>
            <w:gridSpan w:val="5"/>
          </w:tcPr>
          <w:p>
            <w:pPr>
              <w:spacing w:after="0"/>
              <w:rPr>
                <w:sz w:val="20"/>
                <w:szCs w:val="20"/>
                <w:color w:val="auto"/>
              </w:rPr>
            </w:pPr>
            <w:r>
              <w:rPr>
                <w:rFonts w:ascii="Arial" w:cs="Arial" w:eastAsia="Arial" w:hAnsi="Arial"/>
                <w:sz w:val="18"/>
                <w:szCs w:val="18"/>
                <w:color w:val="auto"/>
              </w:rPr>
              <w:t>When  reviewing  corporate  performance  goals,  the</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appropriate mix of fixed and variable pay to balance</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Compensation Committee evaluates thresholds set for</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executive  retention  and  recruitment  with  rewards  for</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each of (1) adjusted service gross profit, (2) adjusted</w:t>
            </w:r>
          </w:p>
        </w:tc>
        <w:tc>
          <w:tcPr>
            <w:tcW w:w="0" w:type="dxa"/>
            <w:vAlign w:val="bottom"/>
          </w:tcPr>
          <w:p>
            <w:pPr>
              <w:spacing w:after="0"/>
              <w:rPr>
                <w:sz w:val="1"/>
                <w:szCs w:val="1"/>
                <w:color w:val="auto"/>
              </w:rPr>
            </w:pPr>
          </w:p>
        </w:tc>
      </w:tr>
      <w:tr>
        <w:trPr>
          <w:trHeight w:val="189"/>
        </w:trPr>
        <w:tc>
          <w:tcPr>
            <w:tcW w:w="4760" w:type="dxa"/>
            <w:vAlign w:val="bottom"/>
            <w:gridSpan w:val="4"/>
          </w:tcPr>
          <w:p>
            <w:pPr>
              <w:spacing w:after="0" w:line="189" w:lineRule="exact"/>
              <w:rPr>
                <w:sz w:val="20"/>
                <w:szCs w:val="20"/>
                <w:color w:val="auto"/>
              </w:rPr>
            </w:pPr>
            <w:r>
              <w:rPr>
                <w:rFonts w:ascii="Arial" w:cs="Arial" w:eastAsia="Arial" w:hAnsi="Arial"/>
                <w:sz w:val="18"/>
                <w:szCs w:val="18"/>
                <w:color w:val="auto"/>
              </w:rPr>
              <w:t>achieving  short-term  operational  goals  and  long-term</w:t>
            </w:r>
          </w:p>
        </w:tc>
        <w:tc>
          <w:tcPr>
            <w:tcW w:w="4560" w:type="dxa"/>
            <w:vAlign w:val="bottom"/>
            <w:gridSpan w:val="5"/>
          </w:tcPr>
          <w:p>
            <w:pPr>
              <w:spacing w:after="0" w:line="189" w:lineRule="exact"/>
              <w:rPr>
                <w:sz w:val="20"/>
                <w:szCs w:val="20"/>
                <w:color w:val="auto"/>
              </w:rPr>
            </w:pPr>
            <w:r>
              <w:rPr>
                <w:rFonts w:ascii="Arial" w:cs="Arial" w:eastAsia="Arial" w:hAnsi="Arial"/>
                <w:sz w:val="18"/>
                <w:szCs w:val="18"/>
                <w:color w:val="auto"/>
                <w:w w:val="98"/>
              </w:rPr>
              <w:t>product gross profit, (3) recurring operating expenses and</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stockholder  value.  Our  2025  executive  compensation</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(4) adjusted EBITDA, less capital expenditures. These</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program provided for (a) fixed compensation in the form of</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goals  accounted  for  40%,  10%,  10%  and  40%,</w:t>
            </w:r>
          </w:p>
        </w:tc>
        <w:tc>
          <w:tcPr>
            <w:tcW w:w="0" w:type="dxa"/>
            <w:vAlign w:val="bottom"/>
          </w:tcPr>
          <w:p>
            <w:pPr>
              <w:spacing w:after="0"/>
              <w:rPr>
                <w:sz w:val="1"/>
                <w:szCs w:val="1"/>
                <w:color w:val="auto"/>
              </w:rPr>
            </w:pPr>
          </w:p>
        </w:tc>
      </w:tr>
      <w:tr>
        <w:trPr>
          <w:trHeight w:val="189"/>
        </w:trPr>
        <w:tc>
          <w:tcPr>
            <w:tcW w:w="4760" w:type="dxa"/>
            <w:vAlign w:val="bottom"/>
            <w:gridSpan w:val="4"/>
          </w:tcPr>
          <w:p>
            <w:pPr>
              <w:spacing w:after="0" w:line="189" w:lineRule="exact"/>
              <w:rPr>
                <w:sz w:val="20"/>
                <w:szCs w:val="20"/>
                <w:color w:val="auto"/>
              </w:rPr>
            </w:pPr>
            <w:r>
              <w:rPr>
                <w:rFonts w:ascii="Arial" w:cs="Arial" w:eastAsia="Arial" w:hAnsi="Arial"/>
                <w:sz w:val="18"/>
                <w:szCs w:val="18"/>
                <w:color w:val="auto"/>
              </w:rPr>
              <w:t>salaries designed to provide a competitive baseline of</w:t>
            </w:r>
          </w:p>
        </w:tc>
        <w:tc>
          <w:tcPr>
            <w:tcW w:w="4560" w:type="dxa"/>
            <w:vAlign w:val="bottom"/>
            <w:gridSpan w:val="5"/>
          </w:tcPr>
          <w:p>
            <w:pPr>
              <w:spacing w:after="0" w:line="189" w:lineRule="exact"/>
              <w:rPr>
                <w:sz w:val="20"/>
                <w:szCs w:val="20"/>
                <w:color w:val="auto"/>
              </w:rPr>
            </w:pPr>
            <w:r>
              <w:rPr>
                <w:rFonts w:ascii="Arial" w:cs="Arial" w:eastAsia="Arial" w:hAnsi="Arial"/>
                <w:sz w:val="18"/>
                <w:szCs w:val="18"/>
                <w:color w:val="auto"/>
              </w:rPr>
              <w:t>respectively, of the total target corporate performance</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compensation, (b) short-term variable compensation in</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award bonus. The two measures of gross profit were</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the form of a cash-based incentive compensation program</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calculated by deducting from service sales or product</w:t>
            </w:r>
          </w:p>
        </w:tc>
        <w:tc>
          <w:tcPr>
            <w:tcW w:w="0" w:type="dxa"/>
            <w:vAlign w:val="bottom"/>
          </w:tcPr>
          <w:p>
            <w:pPr>
              <w:spacing w:after="0"/>
              <w:rPr>
                <w:sz w:val="1"/>
                <w:szCs w:val="1"/>
                <w:color w:val="auto"/>
              </w:rPr>
            </w:pPr>
          </w:p>
        </w:tc>
      </w:tr>
      <w:tr>
        <w:trPr>
          <w:trHeight w:val="189"/>
        </w:trPr>
        <w:tc>
          <w:tcPr>
            <w:tcW w:w="4760" w:type="dxa"/>
            <w:vAlign w:val="bottom"/>
            <w:gridSpan w:val="4"/>
          </w:tcPr>
          <w:p>
            <w:pPr>
              <w:spacing w:after="0" w:line="189" w:lineRule="exact"/>
              <w:rPr>
                <w:sz w:val="20"/>
                <w:szCs w:val="20"/>
                <w:color w:val="auto"/>
              </w:rPr>
            </w:pPr>
            <w:r>
              <w:rPr>
                <w:rFonts w:ascii="Arial" w:cs="Arial" w:eastAsia="Arial" w:hAnsi="Arial"/>
                <w:sz w:val="18"/>
                <w:szCs w:val="18"/>
                <w:color w:val="auto"/>
              </w:rPr>
              <w:t>designed to reward achievement of our financial and</w:t>
            </w:r>
          </w:p>
        </w:tc>
        <w:tc>
          <w:tcPr>
            <w:tcW w:w="4560" w:type="dxa"/>
            <w:vAlign w:val="bottom"/>
            <w:gridSpan w:val="5"/>
          </w:tcPr>
          <w:p>
            <w:pPr>
              <w:spacing w:after="0" w:line="189" w:lineRule="exact"/>
              <w:rPr>
                <w:sz w:val="20"/>
                <w:szCs w:val="20"/>
                <w:color w:val="auto"/>
              </w:rPr>
            </w:pPr>
            <w:r>
              <w:rPr>
                <w:rFonts w:ascii="Arial" w:cs="Arial" w:eastAsia="Arial" w:hAnsi="Arial"/>
                <w:sz w:val="18"/>
                <w:szCs w:val="18"/>
                <w:color w:val="auto"/>
              </w:rPr>
              <w:t>sales, as applicable, cost of service or product sales and</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business  goals  for  2025,  and  (c)  long-term  variable</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making  the  adjustments  described  below.  Recurring</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compensation in the form of equity awards designed to</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operating expenses were calculated by adding research</w:t>
            </w:r>
          </w:p>
        </w:tc>
        <w:tc>
          <w:tcPr>
            <w:tcW w:w="0" w:type="dxa"/>
            <w:vAlign w:val="bottom"/>
          </w:tcPr>
          <w:p>
            <w:pPr>
              <w:spacing w:after="0"/>
              <w:rPr>
                <w:sz w:val="1"/>
                <w:szCs w:val="1"/>
                <w:color w:val="auto"/>
              </w:rPr>
            </w:pPr>
          </w:p>
        </w:tc>
      </w:tr>
      <w:tr>
        <w:trPr>
          <w:trHeight w:val="189"/>
        </w:trPr>
        <w:tc>
          <w:tcPr>
            <w:tcW w:w="4760" w:type="dxa"/>
            <w:vAlign w:val="bottom"/>
            <w:gridSpan w:val="4"/>
          </w:tcPr>
          <w:p>
            <w:pPr>
              <w:spacing w:after="0" w:line="189" w:lineRule="exact"/>
              <w:rPr>
                <w:sz w:val="20"/>
                <w:szCs w:val="20"/>
                <w:color w:val="auto"/>
              </w:rPr>
            </w:pPr>
            <w:r>
              <w:rPr>
                <w:rFonts w:ascii="Arial" w:cs="Arial" w:eastAsia="Arial" w:hAnsi="Arial"/>
                <w:sz w:val="18"/>
                <w:szCs w:val="18"/>
                <w:color w:val="auto"/>
              </w:rPr>
              <w:t>reward our executives primarily through increases in the</w:t>
            </w:r>
          </w:p>
        </w:tc>
        <w:tc>
          <w:tcPr>
            <w:tcW w:w="4560" w:type="dxa"/>
            <w:vAlign w:val="bottom"/>
            <w:gridSpan w:val="5"/>
          </w:tcPr>
          <w:p>
            <w:pPr>
              <w:spacing w:after="0" w:line="189" w:lineRule="exact"/>
              <w:rPr>
                <w:sz w:val="20"/>
                <w:szCs w:val="20"/>
                <w:color w:val="auto"/>
              </w:rPr>
            </w:pPr>
            <w:r>
              <w:rPr>
                <w:rFonts w:ascii="Arial" w:cs="Arial" w:eastAsia="Arial" w:hAnsi="Arial"/>
                <w:sz w:val="18"/>
                <w:szCs w:val="18"/>
                <w:color w:val="auto"/>
                <w:w w:val="97"/>
              </w:rPr>
              <w:t>and development expenses, sales, marketing and support</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price of our common stock. We believe that our executive</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expenses, and general and administrative expenses and</w:t>
            </w:r>
          </w:p>
        </w:tc>
        <w:tc>
          <w:tcPr>
            <w:tcW w:w="0" w:type="dxa"/>
            <w:vAlign w:val="bottom"/>
          </w:tcPr>
          <w:p>
            <w:pPr>
              <w:spacing w:after="0"/>
              <w:rPr>
                <w:sz w:val="1"/>
                <w:szCs w:val="1"/>
                <w:color w:val="auto"/>
              </w:rPr>
            </w:pPr>
          </w:p>
        </w:tc>
      </w:tr>
      <w:tr>
        <w:trPr>
          <w:trHeight w:val="189"/>
        </w:trPr>
        <w:tc>
          <w:tcPr>
            <w:tcW w:w="4760" w:type="dxa"/>
            <w:vAlign w:val="bottom"/>
            <w:gridSpan w:val="4"/>
          </w:tcPr>
          <w:p>
            <w:pPr>
              <w:spacing w:after="0" w:line="189" w:lineRule="exact"/>
              <w:rPr>
                <w:sz w:val="20"/>
                <w:szCs w:val="20"/>
                <w:color w:val="auto"/>
              </w:rPr>
            </w:pPr>
            <w:r>
              <w:rPr>
                <w:rFonts w:ascii="Arial" w:cs="Arial" w:eastAsia="Arial" w:hAnsi="Arial"/>
                <w:sz w:val="18"/>
                <w:szCs w:val="18"/>
                <w:color w:val="auto"/>
              </w:rPr>
              <w:t>compensation  program  appropriately  implemented  our</w:t>
            </w:r>
          </w:p>
        </w:tc>
        <w:tc>
          <w:tcPr>
            <w:tcW w:w="4560" w:type="dxa"/>
            <w:vAlign w:val="bottom"/>
            <w:gridSpan w:val="5"/>
          </w:tcPr>
          <w:p>
            <w:pPr>
              <w:spacing w:after="0" w:line="189" w:lineRule="exact"/>
              <w:rPr>
                <w:sz w:val="20"/>
                <w:szCs w:val="20"/>
                <w:color w:val="auto"/>
              </w:rPr>
            </w:pPr>
            <w:r>
              <w:rPr>
                <w:rFonts w:ascii="Arial" w:cs="Arial" w:eastAsia="Arial" w:hAnsi="Arial"/>
                <w:sz w:val="18"/>
                <w:szCs w:val="18"/>
                <w:color w:val="auto"/>
              </w:rPr>
              <w:t>making  the  adjustments  described  below.  Adjusted</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pay-for-performance  philosophy  and  gave  appropriate</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w w:val="99"/>
              </w:rPr>
              <w:t>EBITDA is defined as Net (Loss) Income less income tax</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incentives to our named executive officers to continue</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w w:val="98"/>
              </w:rPr>
              <w:t>expense or benefit, net interest income, depreciation, and</w:t>
            </w:r>
          </w:p>
        </w:tc>
        <w:tc>
          <w:tcPr>
            <w:tcW w:w="0" w:type="dxa"/>
            <w:vAlign w:val="bottom"/>
          </w:tcPr>
          <w:p>
            <w:pPr>
              <w:spacing w:after="0"/>
              <w:rPr>
                <w:sz w:val="1"/>
                <w:szCs w:val="1"/>
                <w:color w:val="auto"/>
              </w:rPr>
            </w:pPr>
          </w:p>
        </w:tc>
      </w:tr>
      <w:tr>
        <w:trPr>
          <w:trHeight w:val="211"/>
        </w:trPr>
        <w:tc>
          <w:tcPr>
            <w:tcW w:w="4760" w:type="dxa"/>
            <w:vAlign w:val="bottom"/>
            <w:gridSpan w:val="4"/>
          </w:tcPr>
          <w:p>
            <w:pPr>
              <w:spacing w:after="0"/>
              <w:rPr>
                <w:sz w:val="20"/>
                <w:szCs w:val="20"/>
                <w:color w:val="auto"/>
              </w:rPr>
            </w:pPr>
            <w:r>
              <w:rPr>
                <w:rFonts w:ascii="Arial" w:cs="Arial" w:eastAsia="Arial" w:hAnsi="Arial"/>
                <w:sz w:val="18"/>
                <w:szCs w:val="18"/>
                <w:color w:val="auto"/>
              </w:rPr>
              <w:t>their employment and increase stockholder value.</w:t>
            </w:r>
          </w:p>
        </w:tc>
        <w:tc>
          <w:tcPr>
            <w:tcW w:w="4560" w:type="dxa"/>
            <w:vAlign w:val="bottom"/>
            <w:gridSpan w:val="5"/>
          </w:tcPr>
          <w:p>
            <w:pPr>
              <w:spacing w:after="0"/>
              <w:rPr>
                <w:sz w:val="20"/>
                <w:szCs w:val="20"/>
                <w:color w:val="auto"/>
              </w:rPr>
            </w:pPr>
            <w:r>
              <w:rPr>
                <w:rFonts w:ascii="Arial" w:cs="Arial" w:eastAsia="Arial" w:hAnsi="Arial"/>
                <w:sz w:val="18"/>
                <w:szCs w:val="18"/>
                <w:color w:val="auto"/>
              </w:rPr>
              <w:t>amortization  expenses  to  arrive  at  EBITDA – earnings</w:t>
            </w:r>
          </w:p>
        </w:tc>
        <w:tc>
          <w:tcPr>
            <w:tcW w:w="0" w:type="dxa"/>
            <w:vAlign w:val="bottom"/>
          </w:tcPr>
          <w:p>
            <w:pPr>
              <w:spacing w:after="0"/>
              <w:rPr>
                <w:sz w:val="1"/>
                <w:szCs w:val="1"/>
                <w:color w:val="auto"/>
              </w:rPr>
            </w:pPr>
          </w:p>
        </w:tc>
      </w:tr>
      <w:tr>
        <w:trPr>
          <w:trHeight w:val="203"/>
        </w:trPr>
        <w:tc>
          <w:tcPr>
            <w:tcW w:w="4760" w:type="dxa"/>
            <w:vAlign w:val="bottom"/>
            <w:gridSpan w:val="4"/>
            <w:vMerge w:val="restart"/>
          </w:tcPr>
          <w:p>
            <w:pPr>
              <w:spacing w:after="0"/>
              <w:rPr>
                <w:sz w:val="20"/>
                <w:szCs w:val="20"/>
                <w:color w:val="auto"/>
              </w:rPr>
            </w:pPr>
            <w:r>
              <w:rPr>
                <w:rFonts w:ascii="Arial" w:cs="Arial" w:eastAsia="Arial" w:hAnsi="Arial"/>
                <w:sz w:val="18"/>
                <w:szCs w:val="18"/>
                <w:color w:val="auto"/>
              </w:rPr>
              <w:t>Highlights of our executive compensation program include</w:t>
            </w:r>
          </w:p>
        </w:tc>
        <w:tc>
          <w:tcPr>
            <w:tcW w:w="1320" w:type="dxa"/>
            <w:vAlign w:val="bottom"/>
          </w:tcPr>
          <w:p>
            <w:pPr>
              <w:spacing w:after="0" w:line="202" w:lineRule="exact"/>
              <w:rPr>
                <w:sz w:val="20"/>
                <w:szCs w:val="20"/>
                <w:color w:val="auto"/>
              </w:rPr>
            </w:pPr>
            <w:r>
              <w:rPr>
                <w:rFonts w:ascii="Arial" w:cs="Arial" w:eastAsia="Arial" w:hAnsi="Arial"/>
                <w:sz w:val="18"/>
                <w:szCs w:val="18"/>
                <w:color w:val="auto"/>
              </w:rPr>
              <w:t>before  interest,</w:t>
            </w:r>
          </w:p>
        </w:tc>
        <w:tc>
          <w:tcPr>
            <w:tcW w:w="1740" w:type="dxa"/>
            <w:vAlign w:val="bottom"/>
          </w:tcPr>
          <w:p>
            <w:pPr>
              <w:ind w:left="60"/>
              <w:spacing w:after="0" w:line="202" w:lineRule="exact"/>
              <w:rPr>
                <w:sz w:val="20"/>
                <w:szCs w:val="20"/>
                <w:color w:val="auto"/>
              </w:rPr>
            </w:pPr>
            <w:r>
              <w:rPr>
                <w:rFonts w:ascii="Arial" w:cs="Arial" w:eastAsia="Arial" w:hAnsi="Arial"/>
                <w:sz w:val="18"/>
                <w:szCs w:val="18"/>
                <w:color w:val="auto"/>
              </w:rPr>
              <w:t>taxes,  depreciation,</w:t>
            </w: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and  amortization.</w:t>
            </w:r>
          </w:p>
        </w:tc>
        <w:tc>
          <w:tcPr>
            <w:tcW w:w="0" w:type="dxa"/>
            <w:vAlign w:val="bottom"/>
          </w:tcPr>
          <w:p>
            <w:pPr>
              <w:spacing w:after="0"/>
              <w:rPr>
                <w:sz w:val="1"/>
                <w:szCs w:val="1"/>
                <w:color w:val="auto"/>
              </w:rPr>
            </w:pPr>
          </w:p>
        </w:tc>
      </w:tr>
      <w:tr>
        <w:trPr>
          <w:trHeight w:val="68"/>
        </w:trPr>
        <w:tc>
          <w:tcPr>
            <w:tcW w:w="4760" w:type="dxa"/>
            <w:vAlign w:val="bottom"/>
            <w:gridSpan w:val="4"/>
            <w:vMerge w:val="continue"/>
          </w:tcPr>
          <w:p>
            <w:pPr>
              <w:spacing w:after="0"/>
              <w:rPr>
                <w:sz w:val="5"/>
                <w:szCs w:val="5"/>
                <w:color w:val="auto"/>
              </w:rPr>
            </w:pPr>
          </w:p>
        </w:tc>
        <w:tc>
          <w:tcPr>
            <w:tcW w:w="4560" w:type="dxa"/>
            <w:vAlign w:val="bottom"/>
            <w:gridSpan w:val="5"/>
            <w:vMerge w:val="restart"/>
          </w:tcPr>
          <w:p>
            <w:pPr>
              <w:spacing w:after="0" w:line="189" w:lineRule="exact"/>
              <w:rPr>
                <w:sz w:val="20"/>
                <w:szCs w:val="20"/>
                <w:color w:val="auto"/>
              </w:rPr>
            </w:pPr>
            <w:r>
              <w:rPr>
                <w:rFonts w:ascii="Arial" w:cs="Arial" w:eastAsia="Arial" w:hAnsi="Arial"/>
                <w:sz w:val="18"/>
                <w:szCs w:val="18"/>
                <w:color w:val="auto"/>
              </w:rPr>
              <w:t>EBITDA is then further adjusted to remove the impact of</w:t>
            </w:r>
          </w:p>
        </w:tc>
        <w:tc>
          <w:tcPr>
            <w:tcW w:w="0" w:type="dxa"/>
            <w:vAlign w:val="bottom"/>
          </w:tcPr>
          <w:p>
            <w:pPr>
              <w:spacing w:after="0"/>
              <w:rPr>
                <w:sz w:val="1"/>
                <w:szCs w:val="1"/>
                <w:color w:val="auto"/>
              </w:rPr>
            </w:pPr>
          </w:p>
        </w:tc>
      </w:tr>
      <w:tr>
        <w:trPr>
          <w:trHeight w:val="121"/>
        </w:trPr>
        <w:tc>
          <w:tcPr>
            <w:tcW w:w="1320" w:type="dxa"/>
            <w:vAlign w:val="bottom"/>
            <w:gridSpan w:val="3"/>
            <w:vMerge w:val="restart"/>
          </w:tcPr>
          <w:p>
            <w:pPr>
              <w:spacing w:after="0"/>
              <w:rPr>
                <w:sz w:val="20"/>
                <w:szCs w:val="20"/>
                <w:color w:val="auto"/>
              </w:rPr>
            </w:pPr>
            <w:r>
              <w:rPr>
                <w:rFonts w:ascii="Arial" w:cs="Arial" w:eastAsia="Arial" w:hAnsi="Arial"/>
                <w:sz w:val="18"/>
                <w:szCs w:val="18"/>
                <w:color w:val="auto"/>
              </w:rPr>
              <w:t>the following:</w:t>
            </w:r>
          </w:p>
        </w:tc>
        <w:tc>
          <w:tcPr>
            <w:tcW w:w="3440" w:type="dxa"/>
            <w:vAlign w:val="bottom"/>
          </w:tcPr>
          <w:p>
            <w:pPr>
              <w:spacing w:after="0"/>
              <w:rPr>
                <w:sz w:val="10"/>
                <w:szCs w:val="10"/>
                <w:color w:val="auto"/>
              </w:rPr>
            </w:pPr>
          </w:p>
        </w:tc>
        <w:tc>
          <w:tcPr>
            <w:tcW w:w="45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320" w:type="dxa"/>
            <w:vAlign w:val="bottom"/>
            <w:gridSpan w:val="3"/>
            <w:vMerge w:val="continue"/>
          </w:tcPr>
          <w:p>
            <w:pPr>
              <w:spacing w:after="0"/>
              <w:rPr>
                <w:sz w:val="10"/>
                <w:szCs w:val="10"/>
                <w:color w:val="auto"/>
              </w:rPr>
            </w:pPr>
          </w:p>
        </w:tc>
        <w:tc>
          <w:tcPr>
            <w:tcW w:w="3440" w:type="dxa"/>
            <w:vAlign w:val="bottom"/>
          </w:tcPr>
          <w:p>
            <w:pPr>
              <w:spacing w:after="0"/>
              <w:rPr>
                <w:sz w:val="10"/>
                <w:szCs w:val="10"/>
                <w:color w:val="auto"/>
              </w:rPr>
            </w:pPr>
          </w:p>
        </w:tc>
        <w:tc>
          <w:tcPr>
            <w:tcW w:w="456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rPr>
              <w:t>additional non-recurring or non-cash expenses incurred.</w:t>
            </w:r>
          </w:p>
        </w:tc>
        <w:tc>
          <w:tcPr>
            <w:tcW w:w="0" w:type="dxa"/>
            <w:vAlign w:val="bottom"/>
          </w:tcPr>
          <w:p>
            <w:pPr>
              <w:spacing w:after="0"/>
              <w:rPr>
                <w:sz w:val="1"/>
                <w:szCs w:val="1"/>
                <w:color w:val="auto"/>
              </w:rPr>
            </w:pPr>
          </w:p>
        </w:tc>
      </w:tr>
      <w:tr>
        <w:trPr>
          <w:trHeight w:val="85"/>
        </w:trPr>
        <w:tc>
          <w:tcPr>
            <w:tcW w:w="13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w:t>
            </w: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Base salaries of our named executive</w:t>
            </w:r>
          </w:p>
        </w:tc>
        <w:tc>
          <w:tcPr>
            <w:tcW w:w="45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20" w:type="dxa"/>
            <w:vAlign w:val="bottom"/>
            <w:gridSpan w:val="3"/>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4560" w:type="dxa"/>
            <w:vAlign w:val="bottom"/>
            <w:gridSpan w:val="5"/>
          </w:tcPr>
          <w:p>
            <w:pPr>
              <w:spacing w:after="0" w:line="161" w:lineRule="exact"/>
              <w:rPr>
                <w:sz w:val="20"/>
                <w:szCs w:val="20"/>
                <w:color w:val="auto"/>
              </w:rPr>
            </w:pPr>
            <w:r>
              <w:rPr>
                <w:rFonts w:ascii="Arial" w:cs="Arial" w:eastAsia="Arial" w:hAnsi="Arial"/>
                <w:sz w:val="18"/>
                <w:szCs w:val="18"/>
                <w:color w:val="auto"/>
                <w:w w:val="97"/>
              </w:rPr>
              <w:t>Adjusting items include, but are not limited to, stock-based</w:t>
            </w: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00"/>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4560" w:type="dxa"/>
            <w:vAlign w:val="bottom"/>
            <w:gridSpan w:val="5"/>
            <w:vMerge w:val="restart"/>
          </w:tcPr>
          <w:p>
            <w:pPr>
              <w:spacing w:after="0" w:line="202" w:lineRule="exact"/>
              <w:rPr>
                <w:sz w:val="20"/>
                <w:szCs w:val="20"/>
                <w:color w:val="auto"/>
              </w:rPr>
            </w:pPr>
            <w:r>
              <w:rPr>
                <w:rFonts w:ascii="Arial" w:cs="Arial" w:eastAsia="Arial" w:hAnsi="Arial"/>
                <w:sz w:val="18"/>
                <w:szCs w:val="18"/>
                <w:color w:val="auto"/>
                <w:w w:val="98"/>
              </w:rPr>
              <w:t>compensation expenses, employee severance expenses,</w:t>
            </w:r>
          </w:p>
        </w:tc>
        <w:tc>
          <w:tcPr>
            <w:tcW w:w="0" w:type="dxa"/>
            <w:vAlign w:val="bottom"/>
          </w:tcPr>
          <w:p>
            <w:pPr>
              <w:spacing w:after="0" w:line="20" w:lineRule="exact"/>
              <w:rPr>
                <w:sz w:val="1"/>
                <w:szCs w:val="1"/>
                <w:color w:val="auto"/>
              </w:rPr>
            </w:pPr>
          </w:p>
        </w:tc>
      </w:tr>
      <w:tr>
        <w:trPr>
          <w:trHeight w:val="183"/>
        </w:trPr>
        <w:tc>
          <w:tcPr>
            <w:tcW w:w="4760" w:type="dxa"/>
            <w:vAlign w:val="bottom"/>
            <w:gridSpan w:val="4"/>
          </w:tcPr>
          <w:p>
            <w:pPr>
              <w:spacing w:after="0" w:line="182" w:lineRule="exact"/>
              <w:rPr>
                <w:sz w:val="20"/>
                <w:szCs w:val="20"/>
                <w:color w:val="auto"/>
              </w:rPr>
            </w:pPr>
            <w:r>
              <w:rPr>
                <w:rFonts w:ascii="Arial" w:cs="Arial" w:eastAsia="Arial" w:hAnsi="Arial"/>
                <w:sz w:val="18"/>
                <w:szCs w:val="18"/>
                <w:color w:val="auto"/>
              </w:rPr>
              <w:t>officers provide fixed compensation to reward individual</w:t>
            </w:r>
          </w:p>
        </w:tc>
        <w:tc>
          <w:tcPr>
            <w:tcW w:w="45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60" w:type="dxa"/>
            <w:vAlign w:val="bottom"/>
            <w:gridSpan w:val="4"/>
          </w:tcPr>
          <w:p>
            <w:pPr>
              <w:spacing w:after="0" w:line="197" w:lineRule="exact"/>
              <w:rPr>
                <w:sz w:val="20"/>
                <w:szCs w:val="20"/>
                <w:color w:val="auto"/>
              </w:rPr>
            </w:pPr>
            <w:r>
              <w:rPr>
                <w:rFonts w:ascii="Arial" w:cs="Arial" w:eastAsia="Arial" w:hAnsi="Arial"/>
                <w:sz w:val="18"/>
                <w:szCs w:val="18"/>
                <w:color w:val="auto"/>
              </w:rPr>
              <w:t>value that the executive brings to us through experience</w:t>
            </w:r>
          </w:p>
        </w:tc>
        <w:tc>
          <w:tcPr>
            <w:tcW w:w="4560" w:type="dxa"/>
            <w:vAlign w:val="bottom"/>
            <w:gridSpan w:val="5"/>
          </w:tcPr>
          <w:p>
            <w:pPr>
              <w:spacing w:after="0" w:line="197" w:lineRule="exact"/>
              <w:rPr>
                <w:sz w:val="20"/>
                <w:szCs w:val="20"/>
                <w:color w:val="auto"/>
              </w:rPr>
            </w:pPr>
            <w:r>
              <w:rPr>
                <w:rFonts w:ascii="Arial" w:cs="Arial" w:eastAsia="Arial" w:hAnsi="Arial"/>
                <w:sz w:val="18"/>
                <w:szCs w:val="18"/>
                <w:color w:val="auto"/>
              </w:rPr>
              <w:t>restructuring  charges,  impairment  charges,  project</w:t>
            </w:r>
          </w:p>
        </w:tc>
        <w:tc>
          <w:tcPr>
            <w:tcW w:w="0" w:type="dxa"/>
            <w:vAlign w:val="bottom"/>
          </w:tcPr>
          <w:p>
            <w:pPr>
              <w:spacing w:after="0"/>
              <w:rPr>
                <w:sz w:val="1"/>
                <w:szCs w:val="1"/>
                <w:color w:val="auto"/>
              </w:rPr>
            </w:pPr>
          </w:p>
        </w:tc>
      </w:tr>
      <w:tr>
        <w:trPr>
          <w:trHeight w:val="194"/>
        </w:trPr>
        <w:tc>
          <w:tcPr>
            <w:tcW w:w="4760" w:type="dxa"/>
            <w:vAlign w:val="bottom"/>
            <w:gridSpan w:val="4"/>
          </w:tcPr>
          <w:p>
            <w:pPr>
              <w:spacing w:after="0" w:line="195" w:lineRule="exact"/>
              <w:rPr>
                <w:sz w:val="20"/>
                <w:szCs w:val="20"/>
                <w:color w:val="auto"/>
              </w:rPr>
            </w:pPr>
            <w:r>
              <w:rPr>
                <w:rFonts w:ascii="Arial" w:cs="Arial" w:eastAsia="Arial" w:hAnsi="Arial"/>
                <w:sz w:val="18"/>
                <w:szCs w:val="18"/>
                <w:color w:val="auto"/>
              </w:rPr>
              <w:t>and  past  and  expected  future  contributions  to  our</w:t>
            </w:r>
          </w:p>
        </w:tc>
        <w:tc>
          <w:tcPr>
            <w:tcW w:w="4560" w:type="dxa"/>
            <w:vAlign w:val="bottom"/>
            <w:gridSpan w:val="5"/>
          </w:tcPr>
          <w:p>
            <w:pPr>
              <w:spacing w:after="0" w:line="195" w:lineRule="exact"/>
              <w:rPr>
                <w:sz w:val="20"/>
                <w:szCs w:val="20"/>
                <w:color w:val="auto"/>
              </w:rPr>
            </w:pPr>
            <w:r>
              <w:rPr>
                <w:rFonts w:ascii="Arial" w:cs="Arial" w:eastAsia="Arial" w:hAnsi="Arial"/>
                <w:sz w:val="18"/>
                <w:szCs w:val="18"/>
                <w:color w:val="auto"/>
              </w:rPr>
              <w:t>disposal expenses, certain excess or obsolete inventory</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success, while factoring in our specific needs and the</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write-offs,  excess  purchase  order  obligations,  non-</w:t>
            </w:r>
          </w:p>
        </w:tc>
        <w:tc>
          <w:tcPr>
            <w:tcW w:w="0" w:type="dxa"/>
            <w:vAlign w:val="bottom"/>
          </w:tcPr>
          <w:p>
            <w:pPr>
              <w:spacing w:after="0"/>
              <w:rPr>
                <w:sz w:val="1"/>
                <w:szCs w:val="1"/>
                <w:color w:val="auto"/>
              </w:rPr>
            </w:pPr>
          </w:p>
        </w:tc>
      </w:tr>
      <w:tr>
        <w:trPr>
          <w:trHeight w:val="197"/>
        </w:trPr>
        <w:tc>
          <w:tcPr>
            <w:tcW w:w="4760" w:type="dxa"/>
            <w:vAlign w:val="bottom"/>
            <w:gridSpan w:val="4"/>
          </w:tcPr>
          <w:p>
            <w:pPr>
              <w:spacing w:after="0" w:line="197" w:lineRule="exact"/>
              <w:rPr>
                <w:sz w:val="20"/>
                <w:szCs w:val="20"/>
                <w:color w:val="auto"/>
              </w:rPr>
            </w:pPr>
            <w:r>
              <w:rPr>
                <w:rFonts w:ascii="Arial" w:cs="Arial" w:eastAsia="Arial" w:hAnsi="Arial"/>
                <w:sz w:val="18"/>
                <w:szCs w:val="18"/>
                <w:color w:val="auto"/>
              </w:rPr>
              <w:t>base   salaries   of   executives   with   comparable</w:t>
            </w:r>
          </w:p>
        </w:tc>
        <w:tc>
          <w:tcPr>
            <w:tcW w:w="4560" w:type="dxa"/>
            <w:vAlign w:val="bottom"/>
            <w:gridSpan w:val="5"/>
          </w:tcPr>
          <w:p>
            <w:pPr>
              <w:spacing w:after="0" w:line="197" w:lineRule="exact"/>
              <w:rPr>
                <w:sz w:val="20"/>
                <w:szCs w:val="20"/>
                <w:color w:val="auto"/>
              </w:rPr>
            </w:pPr>
            <w:r>
              <w:rPr>
                <w:rFonts w:ascii="Arial" w:cs="Arial" w:eastAsia="Arial" w:hAnsi="Arial"/>
                <w:sz w:val="18"/>
                <w:szCs w:val="18"/>
                <w:color w:val="auto"/>
                <w:w w:val="99"/>
              </w:rPr>
              <w:t>recurring legal expenses, gains or losses on the disposal</w:t>
            </w:r>
          </w:p>
        </w:tc>
        <w:tc>
          <w:tcPr>
            <w:tcW w:w="0" w:type="dxa"/>
            <w:vAlign w:val="bottom"/>
          </w:tcPr>
          <w:p>
            <w:pPr>
              <w:spacing w:after="0"/>
              <w:rPr>
                <w:sz w:val="1"/>
                <w:szCs w:val="1"/>
                <w:color w:val="auto"/>
              </w:rPr>
            </w:pPr>
          </w:p>
        </w:tc>
      </w:tr>
      <w:tr>
        <w:trPr>
          <w:trHeight w:val="194"/>
        </w:trPr>
        <w:tc>
          <w:tcPr>
            <w:tcW w:w="4760" w:type="dxa"/>
            <w:vAlign w:val="bottom"/>
            <w:gridSpan w:val="4"/>
          </w:tcPr>
          <w:p>
            <w:pPr>
              <w:spacing w:after="0" w:line="195" w:lineRule="exact"/>
              <w:rPr>
                <w:sz w:val="20"/>
                <w:szCs w:val="20"/>
                <w:color w:val="auto"/>
              </w:rPr>
            </w:pPr>
            <w:r>
              <w:rPr>
                <w:rFonts w:ascii="Arial" w:cs="Arial" w:eastAsia="Arial" w:hAnsi="Arial"/>
                <w:sz w:val="18"/>
                <w:szCs w:val="18"/>
                <w:color w:val="auto"/>
              </w:rPr>
              <w:t>responsibilities at similar organizations. The compensation</w:t>
            </w:r>
          </w:p>
        </w:tc>
        <w:tc>
          <w:tcPr>
            <w:tcW w:w="4560" w:type="dxa"/>
            <w:vAlign w:val="bottom"/>
            <w:gridSpan w:val="5"/>
          </w:tcPr>
          <w:p>
            <w:pPr>
              <w:spacing w:after="0" w:line="195" w:lineRule="exact"/>
              <w:rPr>
                <w:sz w:val="20"/>
                <w:szCs w:val="20"/>
                <w:color w:val="auto"/>
              </w:rPr>
            </w:pPr>
            <w:r>
              <w:rPr>
                <w:rFonts w:ascii="Arial" w:cs="Arial" w:eastAsia="Arial" w:hAnsi="Arial"/>
                <w:sz w:val="18"/>
                <w:szCs w:val="18"/>
                <w:color w:val="auto"/>
              </w:rPr>
              <w:t>of fixed assets, gains or losses on sale of subsidiaries,</w:t>
            </w:r>
          </w:p>
        </w:tc>
        <w:tc>
          <w:tcPr>
            <w:tcW w:w="0" w:type="dxa"/>
            <w:vAlign w:val="bottom"/>
          </w:tcPr>
          <w:p>
            <w:pPr>
              <w:spacing w:after="0"/>
              <w:rPr>
                <w:sz w:val="1"/>
                <w:szCs w:val="1"/>
                <w:color w:val="auto"/>
              </w:rPr>
            </w:pPr>
          </w:p>
        </w:tc>
      </w:tr>
      <w:tr>
        <w:trPr>
          <w:trHeight w:val="203"/>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committee  generally  sets  base  salaries  and  other</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losses  on  unfavorable  future  contracts  and  foreign</w:t>
            </w:r>
          </w:p>
        </w:tc>
        <w:tc>
          <w:tcPr>
            <w:tcW w:w="0" w:type="dxa"/>
            <w:vAlign w:val="bottom"/>
          </w:tcPr>
          <w:p>
            <w:pPr>
              <w:spacing w:after="0"/>
              <w:rPr>
                <w:sz w:val="1"/>
                <w:szCs w:val="1"/>
                <w:color w:val="auto"/>
              </w:rPr>
            </w:pPr>
          </w:p>
        </w:tc>
      </w:tr>
      <w:tr>
        <w:trPr>
          <w:trHeight w:val="197"/>
        </w:trPr>
        <w:tc>
          <w:tcPr>
            <w:tcW w:w="4760" w:type="dxa"/>
            <w:vAlign w:val="bottom"/>
            <w:gridSpan w:val="4"/>
          </w:tcPr>
          <w:p>
            <w:pPr>
              <w:spacing w:after="0" w:line="197" w:lineRule="exact"/>
              <w:rPr>
                <w:sz w:val="20"/>
                <w:szCs w:val="20"/>
                <w:color w:val="auto"/>
              </w:rPr>
            </w:pPr>
            <w:r>
              <w:rPr>
                <w:rFonts w:ascii="Arial" w:cs="Arial" w:eastAsia="Arial" w:hAnsi="Arial"/>
                <w:sz w:val="18"/>
                <w:szCs w:val="18"/>
                <w:color w:val="auto"/>
              </w:rPr>
              <w:t>compensation after reviewing competitive practices. The</w:t>
            </w:r>
          </w:p>
        </w:tc>
        <w:tc>
          <w:tcPr>
            <w:tcW w:w="4560" w:type="dxa"/>
            <w:vAlign w:val="bottom"/>
            <w:gridSpan w:val="5"/>
          </w:tcPr>
          <w:p>
            <w:pPr>
              <w:spacing w:after="0" w:line="197" w:lineRule="exact"/>
              <w:rPr>
                <w:sz w:val="20"/>
                <w:szCs w:val="20"/>
                <w:color w:val="auto"/>
              </w:rPr>
            </w:pPr>
            <w:r>
              <w:rPr>
                <w:rFonts w:ascii="Arial" w:cs="Arial" w:eastAsia="Arial" w:hAnsi="Arial"/>
                <w:sz w:val="18"/>
                <w:szCs w:val="18"/>
                <w:color w:val="auto"/>
              </w:rPr>
              <w:t>exchange gains and losses. The adjustments made to</w:t>
            </w:r>
          </w:p>
        </w:tc>
        <w:tc>
          <w:tcPr>
            <w:tcW w:w="0" w:type="dxa"/>
            <w:vAlign w:val="bottom"/>
          </w:tcPr>
          <w:p>
            <w:pPr>
              <w:spacing w:after="0"/>
              <w:rPr>
                <w:sz w:val="1"/>
                <w:szCs w:val="1"/>
                <w:color w:val="auto"/>
              </w:rPr>
            </w:pPr>
          </w:p>
        </w:tc>
      </w:tr>
      <w:tr>
        <w:trPr>
          <w:trHeight w:val="194"/>
        </w:trPr>
        <w:tc>
          <w:tcPr>
            <w:tcW w:w="4760" w:type="dxa"/>
            <w:vAlign w:val="bottom"/>
            <w:gridSpan w:val="4"/>
          </w:tcPr>
          <w:p>
            <w:pPr>
              <w:spacing w:after="0" w:line="195" w:lineRule="exact"/>
              <w:rPr>
                <w:sz w:val="20"/>
                <w:szCs w:val="20"/>
                <w:color w:val="auto"/>
              </w:rPr>
            </w:pPr>
            <w:r>
              <w:rPr>
                <w:rFonts w:ascii="Arial" w:cs="Arial" w:eastAsia="Arial" w:hAnsi="Arial"/>
                <w:sz w:val="18"/>
                <w:szCs w:val="18"/>
                <w:color w:val="auto"/>
              </w:rPr>
              <w:t>compensation committee believes that aligning the base</w:t>
            </w:r>
          </w:p>
        </w:tc>
        <w:tc>
          <w:tcPr>
            <w:tcW w:w="4560" w:type="dxa"/>
            <w:vAlign w:val="bottom"/>
            <w:gridSpan w:val="5"/>
          </w:tcPr>
          <w:p>
            <w:pPr>
              <w:spacing w:after="0" w:line="195" w:lineRule="exact"/>
              <w:rPr>
                <w:sz w:val="20"/>
                <w:szCs w:val="20"/>
                <w:color w:val="auto"/>
              </w:rPr>
            </w:pPr>
            <w:r>
              <w:rPr>
                <w:rFonts w:ascii="Arial" w:cs="Arial" w:eastAsia="Arial" w:hAnsi="Arial"/>
                <w:sz w:val="18"/>
                <w:szCs w:val="18"/>
                <w:color w:val="auto"/>
                <w:w w:val="97"/>
              </w:rPr>
              <w:t>adjusted service gross profit, adjusted product gross profit</w:t>
            </w:r>
          </w:p>
        </w:tc>
        <w:tc>
          <w:tcPr>
            <w:tcW w:w="0" w:type="dxa"/>
            <w:vAlign w:val="bottom"/>
          </w:tcPr>
          <w:p>
            <w:pPr>
              <w:spacing w:after="0"/>
              <w:rPr>
                <w:sz w:val="1"/>
                <w:szCs w:val="1"/>
                <w:color w:val="auto"/>
              </w:rPr>
            </w:pPr>
          </w:p>
        </w:tc>
      </w:tr>
      <w:tr>
        <w:trPr>
          <w:trHeight w:val="202"/>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salaries of our named executive officers with appropriate</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and recurring operating expenses were to exclude the</w:t>
            </w:r>
          </w:p>
        </w:tc>
        <w:tc>
          <w:tcPr>
            <w:tcW w:w="0" w:type="dxa"/>
            <w:vAlign w:val="bottom"/>
          </w:tcPr>
          <w:p>
            <w:pPr>
              <w:spacing w:after="0"/>
              <w:rPr>
                <w:sz w:val="1"/>
                <w:szCs w:val="1"/>
                <w:color w:val="auto"/>
              </w:rPr>
            </w:pPr>
          </w:p>
        </w:tc>
      </w:tr>
      <w:tr>
        <w:trPr>
          <w:trHeight w:val="197"/>
        </w:trPr>
        <w:tc>
          <w:tcPr>
            <w:tcW w:w="4760" w:type="dxa"/>
            <w:vAlign w:val="bottom"/>
            <w:gridSpan w:val="4"/>
          </w:tcPr>
          <w:p>
            <w:pPr>
              <w:spacing w:after="0" w:line="197" w:lineRule="exact"/>
              <w:rPr>
                <w:sz w:val="20"/>
                <w:szCs w:val="20"/>
                <w:color w:val="auto"/>
              </w:rPr>
            </w:pPr>
            <w:r>
              <w:rPr>
                <w:rFonts w:ascii="Arial" w:cs="Arial" w:eastAsia="Arial" w:hAnsi="Arial"/>
                <w:sz w:val="18"/>
                <w:szCs w:val="18"/>
                <w:color w:val="auto"/>
              </w:rPr>
              <w:t>benchmarks  is  especially  critical  to  a  competitive</w:t>
            </w:r>
          </w:p>
        </w:tc>
        <w:tc>
          <w:tcPr>
            <w:tcW w:w="4560" w:type="dxa"/>
            <w:vAlign w:val="bottom"/>
            <w:gridSpan w:val="5"/>
          </w:tcPr>
          <w:p>
            <w:pPr>
              <w:spacing w:after="0" w:line="197" w:lineRule="exact"/>
              <w:rPr>
                <w:sz w:val="20"/>
                <w:szCs w:val="20"/>
                <w:color w:val="auto"/>
              </w:rPr>
            </w:pPr>
            <w:r>
              <w:rPr>
                <w:rFonts w:ascii="Arial" w:cs="Arial" w:eastAsia="Arial" w:hAnsi="Arial"/>
                <w:sz w:val="18"/>
                <w:szCs w:val="18"/>
                <w:color w:val="auto"/>
              </w:rPr>
              <w:t>effect of any income or expense items that are excluded</w:t>
            </w:r>
          </w:p>
        </w:tc>
        <w:tc>
          <w:tcPr>
            <w:tcW w:w="0" w:type="dxa"/>
            <w:vAlign w:val="bottom"/>
          </w:tcPr>
          <w:p>
            <w:pPr>
              <w:spacing w:after="0"/>
              <w:rPr>
                <w:sz w:val="1"/>
                <w:szCs w:val="1"/>
                <w:color w:val="auto"/>
              </w:rPr>
            </w:pPr>
          </w:p>
        </w:tc>
      </w:tr>
      <w:tr>
        <w:trPr>
          <w:trHeight w:val="194"/>
        </w:trPr>
        <w:tc>
          <w:tcPr>
            <w:tcW w:w="4760" w:type="dxa"/>
            <w:vAlign w:val="bottom"/>
            <w:gridSpan w:val="4"/>
          </w:tcPr>
          <w:p>
            <w:pPr>
              <w:spacing w:after="0" w:line="195" w:lineRule="exact"/>
              <w:rPr>
                <w:sz w:val="20"/>
                <w:szCs w:val="20"/>
                <w:color w:val="auto"/>
              </w:rPr>
            </w:pPr>
            <w:r>
              <w:rPr>
                <w:rFonts w:ascii="Arial" w:cs="Arial" w:eastAsia="Arial" w:hAnsi="Arial"/>
                <w:sz w:val="18"/>
                <w:szCs w:val="18"/>
                <w:color w:val="auto"/>
              </w:rPr>
              <w:t>compensation  program,  as  other  elements  of  our</w:t>
            </w:r>
          </w:p>
        </w:tc>
        <w:tc>
          <w:tcPr>
            <w:tcW w:w="4560" w:type="dxa"/>
            <w:vAlign w:val="bottom"/>
            <w:gridSpan w:val="5"/>
          </w:tcPr>
          <w:p>
            <w:pPr>
              <w:spacing w:after="0" w:line="195" w:lineRule="exact"/>
              <w:rPr>
                <w:sz w:val="20"/>
                <w:szCs w:val="20"/>
                <w:color w:val="auto"/>
              </w:rPr>
            </w:pPr>
            <w:r>
              <w:rPr>
                <w:rFonts w:ascii="Arial" w:cs="Arial" w:eastAsia="Arial" w:hAnsi="Arial"/>
                <w:sz w:val="18"/>
                <w:szCs w:val="18"/>
                <w:color w:val="auto"/>
              </w:rPr>
              <w:t>from  adjusted  EBITDA,  as  applicable.  For  our  chief</w:t>
            </w:r>
          </w:p>
        </w:tc>
        <w:tc>
          <w:tcPr>
            <w:tcW w:w="0" w:type="dxa"/>
            <w:vAlign w:val="bottom"/>
          </w:tcPr>
          <w:p>
            <w:pPr>
              <w:spacing w:after="0"/>
              <w:rPr>
                <w:sz w:val="1"/>
                <w:szCs w:val="1"/>
                <w:color w:val="auto"/>
              </w:rPr>
            </w:pPr>
          </w:p>
        </w:tc>
      </w:tr>
      <w:tr>
        <w:trPr>
          <w:trHeight w:val="202"/>
        </w:trPr>
        <w:tc>
          <w:tcPr>
            <w:tcW w:w="4760" w:type="dxa"/>
            <w:vAlign w:val="bottom"/>
            <w:gridSpan w:val="4"/>
          </w:tcPr>
          <w:p>
            <w:pPr>
              <w:spacing w:after="0" w:line="202" w:lineRule="exact"/>
              <w:rPr>
                <w:sz w:val="20"/>
                <w:szCs w:val="20"/>
                <w:color w:val="auto"/>
              </w:rPr>
            </w:pPr>
            <w:r>
              <w:rPr>
                <w:rFonts w:ascii="Arial" w:cs="Arial" w:eastAsia="Arial" w:hAnsi="Arial"/>
                <w:sz w:val="18"/>
                <w:szCs w:val="18"/>
                <w:color w:val="auto"/>
              </w:rPr>
              <w:t>compensation are determined as a percentage of base</w:t>
            </w:r>
          </w:p>
        </w:tc>
        <w:tc>
          <w:tcPr>
            <w:tcW w:w="4560" w:type="dxa"/>
            <w:vAlign w:val="bottom"/>
            <w:gridSpan w:val="5"/>
          </w:tcPr>
          <w:p>
            <w:pPr>
              <w:spacing w:after="0" w:line="202" w:lineRule="exact"/>
              <w:rPr>
                <w:sz w:val="20"/>
                <w:szCs w:val="20"/>
                <w:color w:val="auto"/>
              </w:rPr>
            </w:pPr>
            <w:r>
              <w:rPr>
                <w:rFonts w:ascii="Arial" w:cs="Arial" w:eastAsia="Arial" w:hAnsi="Arial"/>
                <w:sz w:val="18"/>
                <w:szCs w:val="18"/>
                <w:color w:val="auto"/>
              </w:rPr>
              <w:t>executive  officer,  the  target  amount  of  incentive</w:t>
            </w:r>
          </w:p>
        </w:tc>
        <w:tc>
          <w:tcPr>
            <w:tcW w:w="0" w:type="dxa"/>
            <w:vAlign w:val="bottom"/>
          </w:tcPr>
          <w:p>
            <w:pPr>
              <w:spacing w:after="0"/>
              <w:rPr>
                <w:sz w:val="1"/>
                <w:szCs w:val="1"/>
                <w:color w:val="auto"/>
              </w:rPr>
            </w:pPr>
          </w:p>
        </w:tc>
      </w:tr>
      <w:tr>
        <w:trPr>
          <w:trHeight w:val="197"/>
        </w:trPr>
        <w:tc>
          <w:tcPr>
            <w:tcW w:w="4760" w:type="dxa"/>
            <w:vAlign w:val="bottom"/>
            <w:gridSpan w:val="4"/>
          </w:tcPr>
          <w:p>
            <w:pPr>
              <w:spacing w:after="0" w:line="197" w:lineRule="exact"/>
              <w:rPr>
                <w:sz w:val="20"/>
                <w:szCs w:val="20"/>
                <w:color w:val="auto"/>
              </w:rPr>
            </w:pPr>
            <w:r>
              <w:rPr>
                <w:rFonts w:ascii="Arial" w:cs="Arial" w:eastAsia="Arial" w:hAnsi="Arial"/>
                <w:sz w:val="18"/>
                <w:szCs w:val="18"/>
                <w:color w:val="auto"/>
              </w:rPr>
              <w:t>salary. Annual salary adjustments often reflect cost-of-</w:t>
            </w:r>
          </w:p>
        </w:tc>
        <w:tc>
          <w:tcPr>
            <w:tcW w:w="4560" w:type="dxa"/>
            <w:vAlign w:val="bottom"/>
            <w:gridSpan w:val="5"/>
          </w:tcPr>
          <w:p>
            <w:pPr>
              <w:spacing w:after="0" w:line="197" w:lineRule="exact"/>
              <w:rPr>
                <w:sz w:val="20"/>
                <w:szCs w:val="20"/>
                <w:color w:val="auto"/>
              </w:rPr>
            </w:pPr>
            <w:r>
              <w:rPr>
                <w:rFonts w:ascii="Arial" w:cs="Arial" w:eastAsia="Arial" w:hAnsi="Arial"/>
                <w:sz w:val="18"/>
                <w:szCs w:val="18"/>
                <w:color w:val="auto"/>
              </w:rPr>
              <w:t>compensation for 2025 and 2024 was 90% of his base</w:t>
            </w:r>
          </w:p>
        </w:tc>
        <w:tc>
          <w:tcPr>
            <w:tcW w:w="0" w:type="dxa"/>
            <w:vAlign w:val="bottom"/>
          </w:tcPr>
          <w:p>
            <w:pPr>
              <w:spacing w:after="0"/>
              <w:rPr>
                <w:sz w:val="1"/>
                <w:szCs w:val="1"/>
                <w:color w:val="auto"/>
              </w:rPr>
            </w:pPr>
          </w:p>
        </w:tc>
      </w:tr>
      <w:tr>
        <w:trPr>
          <w:trHeight w:val="216"/>
        </w:trPr>
        <w:tc>
          <w:tcPr>
            <w:tcW w:w="1320" w:type="dxa"/>
            <w:vAlign w:val="bottom"/>
            <w:gridSpan w:val="3"/>
          </w:tcPr>
          <w:p>
            <w:pPr>
              <w:spacing w:after="0"/>
              <w:rPr>
                <w:sz w:val="20"/>
                <w:szCs w:val="20"/>
                <w:color w:val="auto"/>
              </w:rPr>
            </w:pPr>
            <w:r>
              <w:rPr>
                <w:rFonts w:ascii="Arial" w:cs="Arial" w:eastAsia="Arial" w:hAnsi="Arial"/>
                <w:sz w:val="18"/>
                <w:szCs w:val="18"/>
                <w:color w:val="auto"/>
              </w:rPr>
              <w:t>living increases.</w:t>
            </w:r>
          </w:p>
        </w:tc>
        <w:tc>
          <w:tcPr>
            <w:tcW w:w="344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8"/>
                <w:szCs w:val="18"/>
                <w:color w:val="auto"/>
              </w:rPr>
              <w:t>salary. For the other named executive officers, the target</w:t>
            </w: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amount of incentive</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960" w:hanging="25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4"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395796"/>
        </w:rPr>
        <w:t>PROPOSAL 2 – NON-BINDING SAY ON PAY VOTE</w:t>
      </w:r>
    </w:p>
    <w:p>
      <w:pPr>
        <w:sectPr>
          <w:pgSz w:w="11900" w:h="16838" w:orient="portrait"/>
          <w:cols w:equalWidth="0" w:num="1">
            <w:col w:w="10020"/>
          </w:cols>
          <w:pgMar w:left="580" w:top="97" w:right="1299" w:bottom="1440" w:gutter="0" w:footer="0" w:header="0"/>
        </w:sectPr>
      </w:pPr>
    </w:p>
    <w:p>
      <w:pPr>
        <w:spacing w:after="0" w:line="198" w:lineRule="exact"/>
        <w:rPr>
          <w:sz w:val="20"/>
          <w:szCs w:val="20"/>
          <w:color w:val="auto"/>
        </w:rPr>
      </w:pPr>
    </w:p>
    <w:p>
      <w:pPr>
        <w:jc w:val="both"/>
        <w:ind w:left="700"/>
        <w:spacing w:after="0" w:line="271" w:lineRule="auto"/>
        <w:rPr>
          <w:sz w:val="20"/>
          <w:szCs w:val="20"/>
          <w:color w:val="auto"/>
        </w:rPr>
      </w:pPr>
      <w:r>
        <w:rPr>
          <w:rFonts w:ascii="Arial" w:cs="Arial" w:eastAsia="Arial" w:hAnsi="Arial"/>
          <w:sz w:val="18"/>
          <w:szCs w:val="18"/>
          <w:color w:val="auto"/>
        </w:rPr>
        <w:t>compensation for 2025 was 50% of base salary and for 2024 ranged from 40% to 50% of base salary.</w:t>
      </w:r>
    </w:p>
    <w:p>
      <w:pPr>
        <w:spacing w:after="0" w:line="59" w:lineRule="exact"/>
        <w:rPr>
          <w:sz w:val="20"/>
          <w:szCs w:val="20"/>
          <w:color w:val="auto"/>
        </w:rPr>
      </w:pPr>
    </w:p>
    <w:p>
      <w:pPr>
        <w:jc w:val="both"/>
        <w:ind w:left="700"/>
        <w:spacing w:after="0" w:line="242" w:lineRule="auto"/>
        <w:rPr>
          <w:sz w:val="20"/>
          <w:szCs w:val="20"/>
          <w:color w:val="auto"/>
        </w:rPr>
      </w:pPr>
      <w:r>
        <w:rPr>
          <w:rFonts w:ascii="Arial" w:cs="Arial" w:eastAsia="Arial" w:hAnsi="Arial"/>
          <w:sz w:val="18"/>
          <w:szCs w:val="18"/>
          <w:color w:val="auto"/>
        </w:rPr>
        <w:t>For the corporate performance components of the 2025 plan, the plan provided that, subject to the discretion of the compensation committee, payouts would begin when we achieved the requisite threshold of performance for the relevant metric, at which point executives would earn 50% of the targeted bonus amount for that metric. For performance below the applicable threshold, subject to the discretion of the Compensation Committee, our named executive officers would not earn any incentive compensation attributable to the relevant metric. Executives would earn, subject to the discretion of the Compensation Committee, the targeted incentive compensation payout when performance equaled the target and would earn the maximum payout of 200% of the targeted payout when performance equaled or exceeded a maximum level of outperformance.</w:t>
      </w:r>
    </w:p>
    <w:p>
      <w:pPr>
        <w:spacing w:after="0" w:line="76" w:lineRule="exact"/>
        <w:rPr>
          <w:sz w:val="20"/>
          <w:szCs w:val="20"/>
          <w:color w:val="auto"/>
        </w:rPr>
      </w:pPr>
    </w:p>
    <w:p>
      <w:pPr>
        <w:jc w:val="both"/>
        <w:ind w:left="700"/>
        <w:spacing w:after="0" w:line="244" w:lineRule="auto"/>
        <w:rPr>
          <w:sz w:val="20"/>
          <w:szCs w:val="20"/>
          <w:color w:val="auto"/>
        </w:rPr>
      </w:pPr>
      <w:r>
        <w:rPr>
          <w:rFonts w:ascii="Arial" w:cs="Arial" w:eastAsia="Arial" w:hAnsi="Arial"/>
          <w:sz w:val="18"/>
          <w:szCs w:val="18"/>
          <w:color w:val="auto"/>
        </w:rPr>
        <w:t>In February 2026, after assessing our corporate performance for 2025, the Compensation Committee determined that the company exceeded its corporate performance goals for each of adjusted service gross profit and adjusted product gross profit, but did not meet its corporate performance goals for recurring operating expenses and adjusted EBITDA, less capital expenditures. As a result, the Compensation Committee determined that 33% of the corporate performance goals for 2025 were achieved.</w:t>
      </w:r>
    </w:p>
    <w:p>
      <w:pPr>
        <w:spacing w:after="0" w:line="69" w:lineRule="exact"/>
        <w:rPr>
          <w:sz w:val="20"/>
          <w:szCs w:val="20"/>
          <w:color w:val="auto"/>
        </w:rPr>
      </w:pPr>
    </w:p>
    <w:p>
      <w:pPr>
        <w:jc w:val="both"/>
        <w:ind w:left="700"/>
        <w:spacing w:after="0" w:line="252" w:lineRule="auto"/>
        <w:rPr>
          <w:sz w:val="20"/>
          <w:szCs w:val="20"/>
          <w:color w:val="auto"/>
        </w:rPr>
      </w:pPr>
      <w:r>
        <w:rPr>
          <w:rFonts w:ascii="Arial" w:cs="Arial" w:eastAsia="Arial" w:hAnsi="Arial"/>
          <w:sz w:val="18"/>
          <w:szCs w:val="18"/>
          <w:color w:val="auto"/>
        </w:rPr>
        <w:t>The Compensation Committee further determined that each of our named executive officers employed as of December 31, 2025 achieved 100% of their respective individual performance goals.</w:t>
      </w:r>
    </w:p>
    <w:p>
      <w:pPr>
        <w:spacing w:after="0" w:line="62" w:lineRule="exact"/>
        <w:rPr>
          <w:sz w:val="20"/>
          <w:szCs w:val="20"/>
          <w:color w:val="auto"/>
        </w:rPr>
      </w:pPr>
    </w:p>
    <w:p>
      <w:pPr>
        <w:jc w:val="both"/>
        <w:ind w:left="700"/>
        <w:spacing w:after="0" w:line="256" w:lineRule="auto"/>
        <w:rPr>
          <w:sz w:val="20"/>
          <w:szCs w:val="20"/>
          <w:color w:val="auto"/>
        </w:rPr>
      </w:pPr>
      <w:r>
        <w:rPr>
          <w:rFonts w:ascii="Arial" w:cs="Arial" w:eastAsia="Arial" w:hAnsi="Arial"/>
          <w:sz w:val="17"/>
          <w:szCs w:val="17"/>
          <w:color w:val="auto"/>
        </w:rPr>
        <w:t>Despite the failure to meet the 2025 corporate performance goals, the Compensation Committee exercised its discretion to award each of our named executive officers a full target bonus for 2025. As a result, our chief executive officer received a cash bonus equivalent to 90% of his base salary and each of our other named executive officers employed as of December 31, 2025, received a cash bonus equivalent to 50% of their respective base salaries. In determining the bonus to be awarded to each named executive officer, the Compensation Committee considered not only level of achievement against the corporate and individual performance targets for 2025, but also considered certain other achievements by the company during 2025. Such achievements included the successful sale of the company’s property in Middletown, Rhode Island, which generated meaning liquidity for the company; the completion of the acquisition of a maritime satellite service business of a satellite services provider operating in the Asia-Pacific region, which expanded the company’s customer base and geographic reach in the region; strong growth in LEO service revenue; and the achievement of three consecutive quarters of sequential service revenue growth, which represented a meaningful inflection point in the company’s strategic transition to a LEO-driven services business. As a result, the Compensation Committee deemed each named executive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officer had achieved 100% of his or her target bonus opportunity with respect to corporate performance. In reaching this determination, the Compensation Committee recognized the importance of retaining key personnel in a challenging and competitive environment and recognized the efforts of each of the named executive officers.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u w:val="single" w:color="auto"/>
          <w:color w:val="auto"/>
        </w:rPr>
        <w:t>Long-Term Equity Incentives</w:t>
      </w:r>
      <w:r>
        <w:rPr>
          <w:rFonts w:ascii="Arial" w:cs="Arial" w:eastAsia="Arial" w:hAnsi="Arial"/>
          <w:sz w:val="17"/>
          <w:szCs w:val="17"/>
          <w:color w:val="auto"/>
        </w:rPr>
        <w:t>. Equity incentives are</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reward the achievement of long-term growth in the price of our common stock. The equity grants to our named executive officers in 2025 consisted of stock options with a four-year vesting period designed to support the retention of our named executive officers and encourage the executives to focus on the long-term performance of our stock price. The compensation committee granted stock option awards because stock option awards closely align the interests of our executives with the interests of our stockholders as options generate cash value only with stock price appreciation.</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compensation committee believed that granting equity incentives was the best method of motivating the named executive officers to manage our operations in a manner that is consistent with the long-term interests of our stockholders. The grant date fair values of the equity awards granted to our named executive officers in 2025 ranged from approximately 42% to 63% of the survey data median for annual grants for their respective positions.</w:t>
      </w:r>
    </w:p>
    <w:p>
      <w:pPr>
        <w:spacing w:after="0" w:line="184"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Policies and Practices Regarding the Grant of Stock Options.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of the date of this proxy statement, it is our policy not to grant stock options (including stock appreciation rights and similar awards with option-like features) in a manner that would establish the exercise price of the options based on trading prices occurring before the dissemination of material non-public information known to us at the time our compensation committee takes action to make the grant. Subject to the foregoing, it is our policy not to time the disclosure of material non-public information for the purpose of affecting the exercise price of options. In addition, it is our policy not to grant stock options in a manner that would establish the exercise price of the options based on trading prices occurring during periods when we presume to have material non-public information about KVH, including (a) during “blackout periods” established under our securities trading policy (each, a “Blackout Period”) or (b) during the period beginning four business days before, and ending one business day after, the anticipated (or, if later, actual) filing or furnishing of a report on Form 10-K, 10-Q or 8-K that discloses material non-public information (other than a report on Form 8-K disclosing a material new option grant under Item 5.02(e)) (each, a “Filing Window”). These restrictions do not apply to awards of restricted stock, restricted stock units or other types of awards that do not have an exercise price related to the market price of our common stock on the date of grant. Our compensation committee has the discretion to waive the application of these policies to particular facts and circumstances.</w:t>
      </w:r>
    </w:p>
    <w:p>
      <w:pPr>
        <w:spacing w:after="0" w:line="494" w:lineRule="exact"/>
        <w:rPr>
          <w:sz w:val="20"/>
          <w:szCs w:val="20"/>
          <w:color w:val="auto"/>
        </w:rPr>
      </w:pPr>
    </w:p>
    <w:p>
      <w:pPr>
        <w:sectPr>
          <w:pgSz w:w="11900" w:h="16838" w:orient="portrait"/>
          <w:cols w:equalWidth="0" w:num="2">
            <w:col w:w="5260" w:space="200"/>
            <w:col w:w="4560"/>
          </w:cols>
          <w:pgMar w:left="580" w:top="97" w:right="1299" w:bottom="1440" w:gutter="0" w:footer="0" w:header="0"/>
          <w:type w:val="continuous"/>
        </w:sectPr>
      </w:pPr>
    </w:p>
    <w:p>
      <w:pPr>
        <w:spacing w:after="0" w:line="373" w:lineRule="exact"/>
        <w:rPr>
          <w:sz w:val="20"/>
          <w:szCs w:val="20"/>
          <w:color w:val="auto"/>
        </w:rPr>
      </w:pPr>
    </w:p>
    <w:p>
      <w:pPr>
        <w:ind w:left="6280"/>
        <w:spacing w:after="0"/>
        <w:rPr>
          <w:sz w:val="20"/>
          <w:szCs w:val="20"/>
          <w:color w:val="auto"/>
        </w:rPr>
      </w:pPr>
      <w:r>
        <w:rPr>
          <w:rFonts w:ascii="Arial" w:cs="Arial" w:eastAsia="Arial" w:hAnsi="Arial"/>
          <w:sz w:val="17"/>
          <w:szCs w:val="17"/>
          <w:color w:val="395796"/>
        </w:rPr>
        <w:t xml:space="preserve">KVH Industries, Inc. 2026 Proxy Statement  </w:t>
      </w:r>
      <w:r>
        <w:rPr>
          <w:rFonts w:ascii="Arial" w:cs="Arial" w:eastAsia="Arial" w:hAnsi="Arial"/>
          <w:sz w:val="17"/>
          <w:szCs w:val="17"/>
          <w:color w:val="000000"/>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395796"/>
        </w:rPr>
        <w:t>PROPOSAL 2 – NON-BINDING SAY ON PAY VOTE</w:t>
      </w:r>
      <w:r>
        <w:rPr>
          <w:rFonts w:ascii="Arial" w:cs="Arial" w:eastAsia="Arial" w:hAnsi="Arial"/>
          <w:sz w:val="35"/>
          <w:szCs w:val="35"/>
          <w:b w:val="1"/>
          <w:bCs w:val="1"/>
          <w:color w:val="395796"/>
          <w:vertAlign w:val="superscript"/>
        </w:rPr>
        <w:t>​</w:t>
      </w:r>
    </w:p>
    <w:p>
      <w:pPr>
        <w:spacing w:after="0" w:line="4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executive officers are not permitted to choose the</w:t>
      </w:r>
    </w:p>
    <w:p>
      <w:pPr>
        <w:ind w:left="700"/>
        <w:spacing w:after="0" w:line="226" w:lineRule="auto"/>
        <w:rPr>
          <w:sz w:val="20"/>
          <w:szCs w:val="20"/>
          <w:color w:val="auto"/>
        </w:rPr>
      </w:pPr>
      <w:r>
        <w:rPr>
          <w:rFonts w:ascii="Arial" w:cs="Arial" w:eastAsia="Arial" w:hAnsi="Arial"/>
          <w:sz w:val="18"/>
          <w:szCs w:val="18"/>
          <w:color w:val="auto"/>
        </w:rPr>
        <w:t>grant date for their individual stock option grants. Stock option grants to our employees, including our executive</w:t>
      </w:r>
    </w:p>
    <w:p>
      <w:pPr>
        <w:ind w:left="700"/>
        <w:spacing w:after="0" w:line="236" w:lineRule="auto"/>
        <w:rPr>
          <w:sz w:val="20"/>
          <w:szCs w:val="20"/>
          <w:color w:val="auto"/>
        </w:rPr>
      </w:pPr>
      <w:r>
        <w:rPr>
          <w:rFonts w:ascii="Arial" w:cs="Arial" w:eastAsia="Arial" w:hAnsi="Arial"/>
          <w:sz w:val="18"/>
          <w:szCs w:val="18"/>
          <w:color w:val="auto"/>
        </w:rPr>
        <w:t>officers, and our directors are generally made annually at</w:t>
      </w:r>
    </w:p>
    <w:p>
      <w:pPr>
        <w:spacing w:after="0" w:line="1" w:lineRule="exact"/>
        <w:rPr>
          <w:sz w:val="20"/>
          <w:szCs w:val="20"/>
          <w:color w:val="auto"/>
        </w:rPr>
      </w:pPr>
    </w:p>
    <w:p>
      <w:pPr>
        <w:ind w:left="700" w:right="20"/>
        <w:spacing w:after="0" w:line="226" w:lineRule="auto"/>
        <w:rPr>
          <w:sz w:val="20"/>
          <w:szCs w:val="20"/>
          <w:color w:val="auto"/>
        </w:rPr>
      </w:pPr>
      <w:r>
        <w:rPr>
          <w:rFonts w:ascii="Arial" w:cs="Arial" w:eastAsia="Arial" w:hAnsi="Arial"/>
          <w:sz w:val="18"/>
          <w:szCs w:val="18"/>
          <w:color w:val="auto"/>
        </w:rPr>
        <w:t>a meeting of the compensation committee that is held during the first quarter of each year. The grants are</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generally effective on the date of the meeting. However, if</w:t>
      </w:r>
    </w:p>
    <w:p>
      <w:pPr>
        <w:spacing w:after="0" w:line="7" w:lineRule="exact"/>
        <w:rPr>
          <w:sz w:val="20"/>
          <w:szCs w:val="20"/>
          <w:color w:val="auto"/>
        </w:rPr>
      </w:pPr>
    </w:p>
    <w:p>
      <w:pPr>
        <w:ind w:left="700"/>
        <w:spacing w:after="0" w:line="226" w:lineRule="auto"/>
        <w:rPr>
          <w:sz w:val="20"/>
          <w:szCs w:val="20"/>
          <w:color w:val="auto"/>
        </w:rPr>
      </w:pPr>
      <w:r>
        <w:rPr>
          <w:rFonts w:ascii="Arial" w:cs="Arial" w:eastAsia="Arial" w:hAnsi="Arial"/>
          <w:sz w:val="18"/>
          <w:szCs w:val="18"/>
          <w:color w:val="auto"/>
        </w:rPr>
        <w:t>the meeting occurs during a Blackout Period or a Filing Window, the stock option grants will not be effective until</w:t>
      </w:r>
    </w:p>
    <w:p>
      <w:pPr>
        <w:ind w:left="700"/>
        <w:spacing w:after="0" w:line="236" w:lineRule="auto"/>
        <w:rPr>
          <w:sz w:val="20"/>
          <w:szCs w:val="20"/>
          <w:color w:val="auto"/>
        </w:rPr>
      </w:pPr>
      <w:r>
        <w:rPr>
          <w:rFonts w:ascii="Arial" w:cs="Arial" w:eastAsia="Arial" w:hAnsi="Arial"/>
          <w:sz w:val="18"/>
          <w:szCs w:val="18"/>
          <w:color w:val="auto"/>
        </w:rPr>
        <w:t>the close of trading on the first full business day after the</w:t>
      </w:r>
    </w:p>
    <w:p>
      <w:pPr>
        <w:spacing w:after="0" w:line="1" w:lineRule="exact"/>
        <w:rPr>
          <w:sz w:val="20"/>
          <w:szCs w:val="20"/>
          <w:color w:val="auto"/>
        </w:rPr>
      </w:pPr>
    </w:p>
    <w:p>
      <w:pPr>
        <w:ind w:left="700" w:right="20"/>
        <w:spacing w:after="0" w:line="226" w:lineRule="auto"/>
        <w:rPr>
          <w:sz w:val="20"/>
          <w:szCs w:val="20"/>
          <w:color w:val="auto"/>
        </w:rPr>
      </w:pPr>
      <w:r>
        <w:rPr>
          <w:rFonts w:ascii="Arial" w:cs="Arial" w:eastAsia="Arial" w:hAnsi="Arial"/>
          <w:sz w:val="18"/>
          <w:szCs w:val="18"/>
          <w:color w:val="auto"/>
        </w:rPr>
        <w:t>disclosure of the relevant quarterly earnings release or other material non-public information, unless such day is</w:t>
      </w:r>
    </w:p>
    <w:p>
      <w:pPr>
        <w:ind w:left="700"/>
        <w:spacing w:after="0" w:line="236" w:lineRule="auto"/>
        <w:rPr>
          <w:sz w:val="20"/>
          <w:szCs w:val="20"/>
          <w:color w:val="auto"/>
        </w:rPr>
      </w:pPr>
      <w:r>
        <w:rPr>
          <w:rFonts w:ascii="Arial" w:cs="Arial" w:eastAsia="Arial" w:hAnsi="Arial"/>
          <w:sz w:val="18"/>
          <w:szCs w:val="18"/>
          <w:color w:val="auto"/>
        </w:rPr>
        <w:t>within a Filing Window, in which case such grants will not</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be effective until the close of trading on the first full business day after the filing or furnishing of the applicable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report with the SEC.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During 2025, we did not time the disclosure of material non-public information for the purpose of affecting the value of executive compensation.</w:t>
      </w:r>
    </w:p>
    <w:p>
      <w:pPr>
        <w:spacing w:after="0" w:line="6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During 2025, the following stock options were awarded to our named executive officers with an effective grant date during a period beginning four business days before the filing or furnishing of a report on Form 10-K, 10-Q or 8-K that disclosed material nonpublic information (other than a report on Form 8-K that disclosed a material new option grant under Item 5.02(e)), and ending one business day after the filing or furnishing of that report:</w:t>
      </w:r>
    </w:p>
    <w:p>
      <w:pPr>
        <w:spacing w:after="0" w:line="866" w:lineRule="exact"/>
        <w:rPr>
          <w:sz w:val="20"/>
          <w:szCs w:val="20"/>
          <w:color w:val="auto"/>
        </w:rPr>
      </w:pPr>
    </w:p>
    <w:p>
      <w:pPr>
        <w:sectPr>
          <w:pgSz w:w="11900" w:h="16838" w:orient="portrait"/>
          <w:cols w:equalWidth="0" w:num="2">
            <w:col w:w="5260" w:space="200"/>
            <w:col w:w="4600"/>
          </w:cols>
          <w:pgMar w:left="580" w:top="97" w:right="1259" w:bottom="1440" w:gutter="0" w:footer="0" w:header="0"/>
        </w:sectPr>
      </w:pPr>
    </w:p>
    <w:p>
      <w:pPr>
        <w:spacing w:after="0" w:line="66"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500" w:type="dxa"/>
            <w:vAlign w:val="bottom"/>
            <w:shd w:val="clear" w:color="auto" w:fill="395796"/>
          </w:tcPr>
          <w:p>
            <w:pPr>
              <w:spacing w:after="0"/>
              <w:rPr>
                <w:sz w:val="16"/>
                <w:szCs w:val="16"/>
                <w:color w:val="auto"/>
              </w:rPr>
            </w:pPr>
          </w:p>
        </w:tc>
        <w:tc>
          <w:tcPr>
            <w:tcW w:w="1140" w:type="dxa"/>
            <w:vAlign w:val="bottom"/>
            <w:shd w:val="clear" w:color="auto" w:fill="395796"/>
          </w:tcPr>
          <w:p>
            <w:pPr>
              <w:spacing w:after="0"/>
              <w:rPr>
                <w:sz w:val="16"/>
                <w:szCs w:val="16"/>
                <w:color w:val="auto"/>
              </w:rPr>
            </w:pPr>
          </w:p>
        </w:tc>
        <w:tc>
          <w:tcPr>
            <w:tcW w:w="760" w:type="dxa"/>
            <w:vAlign w:val="bottom"/>
            <w:shd w:val="clear" w:color="auto" w:fill="395796"/>
          </w:tcPr>
          <w:p>
            <w:pPr>
              <w:spacing w:after="0"/>
              <w:rPr>
                <w:sz w:val="16"/>
                <w:szCs w:val="16"/>
                <w:color w:val="auto"/>
              </w:rPr>
            </w:pPr>
          </w:p>
        </w:tc>
        <w:tc>
          <w:tcPr>
            <w:tcW w:w="940" w:type="dxa"/>
            <w:vAlign w:val="bottom"/>
            <w:shd w:val="clear" w:color="auto" w:fill="395796"/>
          </w:tcPr>
          <w:p>
            <w:pPr>
              <w:spacing w:after="0"/>
              <w:rPr>
                <w:sz w:val="16"/>
                <w:szCs w:val="16"/>
                <w:color w:val="auto"/>
              </w:rPr>
            </w:pPr>
          </w:p>
        </w:tc>
        <w:tc>
          <w:tcPr>
            <w:tcW w:w="220" w:type="dxa"/>
            <w:vAlign w:val="bottom"/>
            <w:shd w:val="clear" w:color="auto" w:fill="395796"/>
          </w:tcPr>
          <w:p>
            <w:pPr>
              <w:spacing w:after="0"/>
              <w:rPr>
                <w:sz w:val="16"/>
                <w:szCs w:val="16"/>
                <w:color w:val="auto"/>
              </w:rPr>
            </w:pPr>
          </w:p>
        </w:tc>
        <w:tc>
          <w:tcPr>
            <w:tcW w:w="720" w:type="dxa"/>
            <w:vAlign w:val="bottom"/>
            <w:shd w:val="clear" w:color="auto" w:fill="395796"/>
          </w:tcPr>
          <w:p>
            <w:pPr>
              <w:spacing w:after="0"/>
              <w:rPr>
                <w:sz w:val="16"/>
                <w:szCs w:val="16"/>
                <w:color w:val="auto"/>
              </w:rPr>
            </w:pPr>
          </w:p>
        </w:tc>
        <w:tc>
          <w:tcPr>
            <w:tcW w:w="280" w:type="dxa"/>
            <w:vAlign w:val="bottom"/>
            <w:shd w:val="clear" w:color="auto" w:fill="395796"/>
          </w:tcPr>
          <w:p>
            <w:pPr>
              <w:spacing w:after="0"/>
              <w:rPr>
                <w:sz w:val="16"/>
                <w:szCs w:val="16"/>
                <w:color w:val="auto"/>
              </w:rPr>
            </w:pPr>
          </w:p>
        </w:tc>
        <w:tc>
          <w:tcPr>
            <w:tcW w:w="700" w:type="dxa"/>
            <w:vAlign w:val="bottom"/>
            <w:shd w:val="clear" w:color="auto" w:fill="395796"/>
          </w:tcPr>
          <w:p>
            <w:pPr>
              <w:spacing w:after="0"/>
              <w:rPr>
                <w:sz w:val="16"/>
                <w:szCs w:val="16"/>
                <w:color w:val="auto"/>
              </w:rPr>
            </w:pPr>
          </w:p>
        </w:tc>
        <w:tc>
          <w:tcPr>
            <w:tcW w:w="240" w:type="dxa"/>
            <w:vAlign w:val="bottom"/>
            <w:shd w:val="clear" w:color="auto" w:fill="395796"/>
          </w:tcPr>
          <w:p>
            <w:pPr>
              <w:spacing w:after="0"/>
              <w:rPr>
                <w:sz w:val="16"/>
                <w:szCs w:val="16"/>
                <w:color w:val="auto"/>
              </w:rPr>
            </w:pPr>
          </w:p>
        </w:tc>
        <w:tc>
          <w:tcPr>
            <w:tcW w:w="640" w:type="dxa"/>
            <w:vAlign w:val="bottom"/>
            <w:shd w:val="clear" w:color="auto" w:fill="395796"/>
          </w:tcPr>
          <w:p>
            <w:pPr>
              <w:spacing w:after="0"/>
              <w:rPr>
                <w:sz w:val="16"/>
                <w:szCs w:val="16"/>
                <w:color w:val="auto"/>
              </w:rPr>
            </w:pPr>
          </w:p>
        </w:tc>
        <w:tc>
          <w:tcPr>
            <w:tcW w:w="240" w:type="dxa"/>
            <w:vAlign w:val="bottom"/>
            <w:shd w:val="clear" w:color="auto" w:fill="395796"/>
          </w:tcPr>
          <w:p>
            <w:pPr>
              <w:spacing w:after="0"/>
              <w:rPr>
                <w:sz w:val="16"/>
                <w:szCs w:val="16"/>
                <w:color w:val="auto"/>
              </w:rPr>
            </w:pPr>
          </w:p>
        </w:tc>
        <w:tc>
          <w:tcPr>
            <w:tcW w:w="2920" w:type="dxa"/>
            <w:vAlign w:val="bottom"/>
            <w:shd w:val="clear" w:color="auto" w:fill="395796"/>
          </w:tcPr>
          <w:p>
            <w:pPr>
              <w:jc w:val="right"/>
              <w:ind w:right="3"/>
              <w:spacing w:after="0"/>
              <w:rPr>
                <w:sz w:val="20"/>
                <w:szCs w:val="20"/>
                <w:color w:val="auto"/>
              </w:rPr>
            </w:pPr>
            <w:r>
              <w:rPr>
                <w:rFonts w:ascii="Arial" w:cs="Arial" w:eastAsia="Arial" w:hAnsi="Arial"/>
                <w:sz w:val="14"/>
                <w:szCs w:val="14"/>
                <w:b w:val="1"/>
                <w:bCs w:val="1"/>
                <w:color w:val="FFFFFF"/>
              </w:rPr>
              <w:t>Percentage change in the closing market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0" w:type="dxa"/>
            <w:vAlign w:val="bottom"/>
            <w:shd w:val="clear" w:color="auto" w:fill="395796"/>
          </w:tcPr>
          <w:p>
            <w:pPr>
              <w:spacing w:after="0"/>
              <w:rPr>
                <w:sz w:val="14"/>
                <w:szCs w:val="14"/>
                <w:color w:val="auto"/>
              </w:rPr>
            </w:pPr>
          </w:p>
        </w:tc>
        <w:tc>
          <w:tcPr>
            <w:tcW w:w="1140" w:type="dxa"/>
            <w:vAlign w:val="bottom"/>
            <w:shd w:val="clear" w:color="auto" w:fill="395796"/>
          </w:tcPr>
          <w:p>
            <w:pPr>
              <w:spacing w:after="0"/>
              <w:rPr>
                <w:sz w:val="14"/>
                <w:szCs w:val="14"/>
                <w:color w:val="auto"/>
              </w:rPr>
            </w:pPr>
          </w:p>
        </w:tc>
        <w:tc>
          <w:tcPr>
            <w:tcW w:w="760" w:type="dxa"/>
            <w:vAlign w:val="bottom"/>
            <w:shd w:val="clear" w:color="auto" w:fill="395796"/>
          </w:tcPr>
          <w:p>
            <w:pPr>
              <w:spacing w:after="0"/>
              <w:rPr>
                <w:sz w:val="14"/>
                <w:szCs w:val="14"/>
                <w:color w:val="auto"/>
              </w:rPr>
            </w:pPr>
          </w:p>
        </w:tc>
        <w:tc>
          <w:tcPr>
            <w:tcW w:w="940" w:type="dxa"/>
            <w:vAlign w:val="bottom"/>
            <w:shd w:val="clear" w:color="auto" w:fill="395796"/>
          </w:tcPr>
          <w:p>
            <w:pPr>
              <w:spacing w:after="0"/>
              <w:rPr>
                <w:sz w:val="14"/>
                <w:szCs w:val="14"/>
                <w:color w:val="auto"/>
              </w:rPr>
            </w:pPr>
          </w:p>
        </w:tc>
        <w:tc>
          <w:tcPr>
            <w:tcW w:w="220" w:type="dxa"/>
            <w:vAlign w:val="bottom"/>
            <w:shd w:val="clear" w:color="auto" w:fill="395796"/>
          </w:tcPr>
          <w:p>
            <w:pPr>
              <w:spacing w:after="0"/>
              <w:rPr>
                <w:sz w:val="14"/>
                <w:szCs w:val="14"/>
                <w:color w:val="auto"/>
              </w:rPr>
            </w:pPr>
          </w:p>
        </w:tc>
        <w:tc>
          <w:tcPr>
            <w:tcW w:w="720" w:type="dxa"/>
            <w:vAlign w:val="bottom"/>
            <w:shd w:val="clear" w:color="auto" w:fill="395796"/>
          </w:tcPr>
          <w:p>
            <w:pPr>
              <w:spacing w:after="0"/>
              <w:rPr>
                <w:sz w:val="14"/>
                <w:szCs w:val="14"/>
                <w:color w:val="auto"/>
              </w:rPr>
            </w:pPr>
          </w:p>
        </w:tc>
        <w:tc>
          <w:tcPr>
            <w:tcW w:w="280" w:type="dxa"/>
            <w:vAlign w:val="bottom"/>
            <w:shd w:val="clear" w:color="auto" w:fill="395796"/>
          </w:tcPr>
          <w:p>
            <w:pPr>
              <w:spacing w:after="0"/>
              <w:rPr>
                <w:sz w:val="14"/>
                <w:szCs w:val="14"/>
                <w:color w:val="auto"/>
              </w:rPr>
            </w:pPr>
          </w:p>
        </w:tc>
        <w:tc>
          <w:tcPr>
            <w:tcW w:w="700" w:type="dxa"/>
            <w:vAlign w:val="bottom"/>
            <w:shd w:val="clear" w:color="auto" w:fill="395796"/>
          </w:tcPr>
          <w:p>
            <w:pPr>
              <w:spacing w:after="0"/>
              <w:rPr>
                <w:sz w:val="14"/>
                <w:szCs w:val="14"/>
                <w:color w:val="auto"/>
              </w:rPr>
            </w:pPr>
          </w:p>
        </w:tc>
        <w:tc>
          <w:tcPr>
            <w:tcW w:w="240" w:type="dxa"/>
            <w:vAlign w:val="bottom"/>
            <w:shd w:val="clear" w:color="auto" w:fill="395796"/>
          </w:tcPr>
          <w:p>
            <w:pPr>
              <w:spacing w:after="0"/>
              <w:rPr>
                <w:sz w:val="14"/>
                <w:szCs w:val="14"/>
                <w:color w:val="auto"/>
              </w:rPr>
            </w:pPr>
          </w:p>
        </w:tc>
        <w:tc>
          <w:tcPr>
            <w:tcW w:w="640" w:type="dxa"/>
            <w:vAlign w:val="bottom"/>
            <w:shd w:val="clear" w:color="auto" w:fill="395796"/>
          </w:tcPr>
          <w:p>
            <w:pPr>
              <w:spacing w:after="0"/>
              <w:rPr>
                <w:sz w:val="14"/>
                <w:szCs w:val="14"/>
                <w:color w:val="auto"/>
              </w:rPr>
            </w:pPr>
          </w:p>
        </w:tc>
        <w:tc>
          <w:tcPr>
            <w:tcW w:w="240" w:type="dxa"/>
            <w:vAlign w:val="bottom"/>
            <w:shd w:val="clear" w:color="auto" w:fill="395796"/>
          </w:tcPr>
          <w:p>
            <w:pPr>
              <w:spacing w:after="0"/>
              <w:rPr>
                <w:sz w:val="14"/>
                <w:szCs w:val="14"/>
                <w:color w:val="auto"/>
              </w:rPr>
            </w:pPr>
          </w:p>
        </w:tc>
        <w:tc>
          <w:tcPr>
            <w:tcW w:w="2920" w:type="dxa"/>
            <w:vAlign w:val="bottom"/>
            <w:shd w:val="clear" w:color="auto" w:fill="395796"/>
          </w:tcPr>
          <w:p>
            <w:pPr>
              <w:jc w:val="right"/>
              <w:ind w:right="3"/>
              <w:spacing w:after="0"/>
              <w:rPr>
                <w:sz w:val="20"/>
                <w:szCs w:val="20"/>
                <w:color w:val="auto"/>
              </w:rPr>
            </w:pPr>
            <w:r>
              <w:rPr>
                <w:rFonts w:ascii="Arial" w:cs="Arial" w:eastAsia="Arial" w:hAnsi="Arial"/>
                <w:sz w:val="14"/>
                <w:szCs w:val="14"/>
                <w:b w:val="1"/>
                <w:bCs w:val="1"/>
                <w:color w:val="FFFFFF"/>
                <w:w w:val="97"/>
              </w:rPr>
              <w:t>price of the securities underlying the award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shd w:val="clear" w:color="auto" w:fill="395796"/>
          </w:tcPr>
          <w:p>
            <w:pPr>
              <w:spacing w:after="0"/>
              <w:rPr>
                <w:sz w:val="14"/>
                <w:szCs w:val="14"/>
                <w:color w:val="auto"/>
              </w:rPr>
            </w:pPr>
          </w:p>
        </w:tc>
        <w:tc>
          <w:tcPr>
            <w:tcW w:w="1140" w:type="dxa"/>
            <w:vAlign w:val="bottom"/>
            <w:shd w:val="clear" w:color="auto" w:fill="395796"/>
          </w:tcPr>
          <w:p>
            <w:pPr>
              <w:spacing w:after="0"/>
              <w:rPr>
                <w:sz w:val="14"/>
                <w:szCs w:val="14"/>
                <w:color w:val="auto"/>
              </w:rPr>
            </w:pPr>
          </w:p>
        </w:tc>
        <w:tc>
          <w:tcPr>
            <w:tcW w:w="760" w:type="dxa"/>
            <w:vAlign w:val="bottom"/>
            <w:shd w:val="clear" w:color="auto" w:fill="395796"/>
          </w:tcPr>
          <w:p>
            <w:pPr>
              <w:spacing w:after="0"/>
              <w:rPr>
                <w:sz w:val="14"/>
                <w:szCs w:val="14"/>
                <w:color w:val="auto"/>
              </w:rPr>
            </w:pPr>
          </w:p>
        </w:tc>
        <w:tc>
          <w:tcPr>
            <w:tcW w:w="940" w:type="dxa"/>
            <w:vAlign w:val="bottom"/>
            <w:shd w:val="clear" w:color="auto" w:fill="395796"/>
          </w:tcPr>
          <w:p>
            <w:pPr>
              <w:spacing w:after="0"/>
              <w:rPr>
                <w:sz w:val="14"/>
                <w:szCs w:val="14"/>
                <w:color w:val="auto"/>
              </w:rPr>
            </w:pPr>
          </w:p>
        </w:tc>
        <w:tc>
          <w:tcPr>
            <w:tcW w:w="220" w:type="dxa"/>
            <w:vAlign w:val="bottom"/>
            <w:shd w:val="clear" w:color="auto" w:fill="395796"/>
          </w:tcPr>
          <w:p>
            <w:pPr>
              <w:spacing w:after="0"/>
              <w:rPr>
                <w:sz w:val="14"/>
                <w:szCs w:val="14"/>
                <w:color w:val="auto"/>
              </w:rPr>
            </w:pPr>
          </w:p>
        </w:tc>
        <w:tc>
          <w:tcPr>
            <w:tcW w:w="720" w:type="dxa"/>
            <w:vAlign w:val="bottom"/>
            <w:shd w:val="clear" w:color="auto" w:fill="395796"/>
          </w:tcPr>
          <w:p>
            <w:pPr>
              <w:spacing w:after="0"/>
              <w:rPr>
                <w:sz w:val="14"/>
                <w:szCs w:val="14"/>
                <w:color w:val="auto"/>
              </w:rPr>
            </w:pPr>
          </w:p>
        </w:tc>
        <w:tc>
          <w:tcPr>
            <w:tcW w:w="280" w:type="dxa"/>
            <w:vAlign w:val="bottom"/>
            <w:shd w:val="clear" w:color="auto" w:fill="395796"/>
          </w:tcPr>
          <w:p>
            <w:pPr>
              <w:spacing w:after="0"/>
              <w:rPr>
                <w:sz w:val="14"/>
                <w:szCs w:val="14"/>
                <w:color w:val="auto"/>
              </w:rPr>
            </w:pPr>
          </w:p>
        </w:tc>
        <w:tc>
          <w:tcPr>
            <w:tcW w:w="700" w:type="dxa"/>
            <w:vAlign w:val="bottom"/>
            <w:shd w:val="clear" w:color="auto" w:fill="395796"/>
          </w:tcPr>
          <w:p>
            <w:pPr>
              <w:spacing w:after="0"/>
              <w:rPr>
                <w:sz w:val="14"/>
                <w:szCs w:val="14"/>
                <w:color w:val="auto"/>
              </w:rPr>
            </w:pPr>
          </w:p>
        </w:tc>
        <w:tc>
          <w:tcPr>
            <w:tcW w:w="240" w:type="dxa"/>
            <w:vAlign w:val="bottom"/>
            <w:shd w:val="clear" w:color="auto" w:fill="395796"/>
          </w:tcPr>
          <w:p>
            <w:pPr>
              <w:spacing w:after="0"/>
              <w:rPr>
                <w:sz w:val="14"/>
                <w:szCs w:val="14"/>
                <w:color w:val="auto"/>
              </w:rPr>
            </w:pPr>
          </w:p>
        </w:tc>
        <w:tc>
          <w:tcPr>
            <w:tcW w:w="640" w:type="dxa"/>
            <w:vAlign w:val="bottom"/>
            <w:shd w:val="clear" w:color="auto" w:fill="395796"/>
          </w:tcPr>
          <w:p>
            <w:pPr>
              <w:spacing w:after="0"/>
              <w:rPr>
                <w:sz w:val="14"/>
                <w:szCs w:val="14"/>
                <w:color w:val="auto"/>
              </w:rPr>
            </w:pPr>
          </w:p>
        </w:tc>
        <w:tc>
          <w:tcPr>
            <w:tcW w:w="240" w:type="dxa"/>
            <w:vAlign w:val="bottom"/>
            <w:shd w:val="clear" w:color="auto" w:fill="395796"/>
          </w:tcPr>
          <w:p>
            <w:pPr>
              <w:spacing w:after="0"/>
              <w:rPr>
                <w:sz w:val="14"/>
                <w:szCs w:val="14"/>
                <w:color w:val="auto"/>
              </w:rPr>
            </w:pPr>
          </w:p>
        </w:tc>
        <w:tc>
          <w:tcPr>
            <w:tcW w:w="2920" w:type="dxa"/>
            <w:vAlign w:val="bottom"/>
            <w:shd w:val="clear" w:color="auto" w:fill="395796"/>
          </w:tcPr>
          <w:p>
            <w:pPr>
              <w:jc w:val="right"/>
              <w:ind w:right="3"/>
              <w:spacing w:after="0"/>
              <w:rPr>
                <w:sz w:val="20"/>
                <w:szCs w:val="20"/>
                <w:color w:val="auto"/>
              </w:rPr>
            </w:pPr>
            <w:r>
              <w:rPr>
                <w:rFonts w:ascii="Arial" w:cs="Arial" w:eastAsia="Arial" w:hAnsi="Arial"/>
                <w:sz w:val="14"/>
                <w:szCs w:val="14"/>
                <w:b w:val="1"/>
                <w:bCs w:val="1"/>
                <w:color w:val="FFFFFF"/>
                <w:w w:val="95"/>
              </w:rPr>
              <w:t>between the trading day ending immediately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shd w:val="clear" w:color="auto" w:fill="395796"/>
          </w:tcPr>
          <w:p>
            <w:pPr>
              <w:spacing w:after="0"/>
              <w:rPr>
                <w:sz w:val="14"/>
                <w:szCs w:val="14"/>
                <w:color w:val="auto"/>
              </w:rPr>
            </w:pPr>
          </w:p>
        </w:tc>
        <w:tc>
          <w:tcPr>
            <w:tcW w:w="1140" w:type="dxa"/>
            <w:vAlign w:val="bottom"/>
            <w:shd w:val="clear" w:color="auto" w:fill="395796"/>
          </w:tcPr>
          <w:p>
            <w:pPr>
              <w:spacing w:after="0"/>
              <w:rPr>
                <w:sz w:val="14"/>
                <w:szCs w:val="14"/>
                <w:color w:val="auto"/>
              </w:rPr>
            </w:pPr>
          </w:p>
        </w:tc>
        <w:tc>
          <w:tcPr>
            <w:tcW w:w="760" w:type="dxa"/>
            <w:vAlign w:val="bottom"/>
            <w:shd w:val="clear" w:color="auto" w:fill="395796"/>
          </w:tcPr>
          <w:p>
            <w:pPr>
              <w:spacing w:after="0"/>
              <w:rPr>
                <w:sz w:val="14"/>
                <w:szCs w:val="14"/>
                <w:color w:val="auto"/>
              </w:rPr>
            </w:pPr>
          </w:p>
        </w:tc>
        <w:tc>
          <w:tcPr>
            <w:tcW w:w="940" w:type="dxa"/>
            <w:vAlign w:val="bottom"/>
            <w:shd w:val="clear" w:color="auto" w:fill="395796"/>
          </w:tcPr>
          <w:p>
            <w:pPr>
              <w:spacing w:after="0"/>
              <w:rPr>
                <w:sz w:val="14"/>
                <w:szCs w:val="14"/>
                <w:color w:val="auto"/>
              </w:rPr>
            </w:pPr>
          </w:p>
        </w:tc>
        <w:tc>
          <w:tcPr>
            <w:tcW w:w="940" w:type="dxa"/>
            <w:vAlign w:val="bottom"/>
            <w:gridSpan w:val="2"/>
            <w:shd w:val="clear" w:color="auto" w:fill="395796"/>
          </w:tcPr>
          <w:p>
            <w:pPr>
              <w:jc w:val="right"/>
              <w:spacing w:after="0"/>
              <w:rPr>
                <w:sz w:val="20"/>
                <w:szCs w:val="20"/>
                <w:color w:val="auto"/>
              </w:rPr>
            </w:pPr>
            <w:r>
              <w:rPr>
                <w:rFonts w:ascii="Arial" w:cs="Arial" w:eastAsia="Arial" w:hAnsi="Arial"/>
                <w:sz w:val="14"/>
                <w:szCs w:val="14"/>
                <w:b w:val="1"/>
                <w:bCs w:val="1"/>
                <w:color w:val="FFFFFF"/>
              </w:rPr>
              <w:t>Number of</w:t>
            </w:r>
          </w:p>
        </w:tc>
        <w:tc>
          <w:tcPr>
            <w:tcW w:w="280" w:type="dxa"/>
            <w:vAlign w:val="bottom"/>
            <w:shd w:val="clear" w:color="auto" w:fill="395796"/>
          </w:tcPr>
          <w:p>
            <w:pPr>
              <w:spacing w:after="0"/>
              <w:rPr>
                <w:sz w:val="14"/>
                <w:szCs w:val="14"/>
                <w:color w:val="auto"/>
              </w:rPr>
            </w:pPr>
          </w:p>
        </w:tc>
        <w:tc>
          <w:tcPr>
            <w:tcW w:w="700" w:type="dxa"/>
            <w:vAlign w:val="bottom"/>
            <w:shd w:val="clear" w:color="auto" w:fill="395796"/>
          </w:tcPr>
          <w:p>
            <w:pPr>
              <w:spacing w:after="0"/>
              <w:rPr>
                <w:sz w:val="14"/>
                <w:szCs w:val="14"/>
                <w:color w:val="auto"/>
              </w:rPr>
            </w:pPr>
          </w:p>
        </w:tc>
        <w:tc>
          <w:tcPr>
            <w:tcW w:w="240" w:type="dxa"/>
            <w:vAlign w:val="bottom"/>
            <w:shd w:val="clear" w:color="auto" w:fill="395796"/>
          </w:tcPr>
          <w:p>
            <w:pPr>
              <w:spacing w:after="0"/>
              <w:rPr>
                <w:sz w:val="14"/>
                <w:szCs w:val="14"/>
                <w:color w:val="auto"/>
              </w:rPr>
            </w:pPr>
          </w:p>
        </w:tc>
        <w:tc>
          <w:tcPr>
            <w:tcW w:w="640" w:type="dxa"/>
            <w:vAlign w:val="bottom"/>
            <w:shd w:val="clear" w:color="auto" w:fill="395796"/>
          </w:tcPr>
          <w:p>
            <w:pPr>
              <w:jc w:val="right"/>
              <w:ind w:right="21"/>
              <w:spacing w:after="0"/>
              <w:rPr>
                <w:sz w:val="20"/>
                <w:szCs w:val="20"/>
                <w:color w:val="auto"/>
              </w:rPr>
            </w:pPr>
            <w:r>
              <w:rPr>
                <w:rFonts w:ascii="Arial" w:cs="Arial" w:eastAsia="Arial" w:hAnsi="Arial"/>
                <w:sz w:val="14"/>
                <w:szCs w:val="14"/>
                <w:b w:val="1"/>
                <w:bCs w:val="1"/>
                <w:color w:val="FFFFFF"/>
              </w:rPr>
              <w:t>Grant</w:t>
            </w:r>
          </w:p>
        </w:tc>
        <w:tc>
          <w:tcPr>
            <w:tcW w:w="240" w:type="dxa"/>
            <w:vAlign w:val="bottom"/>
            <w:shd w:val="clear" w:color="auto" w:fill="395796"/>
          </w:tcPr>
          <w:p>
            <w:pPr>
              <w:spacing w:after="0"/>
              <w:rPr>
                <w:sz w:val="14"/>
                <w:szCs w:val="14"/>
                <w:color w:val="auto"/>
              </w:rPr>
            </w:pPr>
          </w:p>
        </w:tc>
        <w:tc>
          <w:tcPr>
            <w:tcW w:w="2920" w:type="dxa"/>
            <w:vAlign w:val="bottom"/>
            <w:shd w:val="clear" w:color="auto" w:fill="395796"/>
          </w:tcPr>
          <w:p>
            <w:pPr>
              <w:jc w:val="right"/>
              <w:ind w:right="3"/>
              <w:spacing w:after="0"/>
              <w:rPr>
                <w:sz w:val="20"/>
                <w:szCs w:val="20"/>
                <w:color w:val="auto"/>
              </w:rPr>
            </w:pPr>
            <w:r>
              <w:rPr>
                <w:rFonts w:ascii="Arial" w:cs="Arial" w:eastAsia="Arial" w:hAnsi="Arial"/>
                <w:sz w:val="14"/>
                <w:szCs w:val="14"/>
                <w:b w:val="1"/>
                <w:bCs w:val="1"/>
                <w:color w:val="FFFFFF"/>
                <w:w w:val="96"/>
              </w:rPr>
              <w:t>prior to the disclosure of material nonpublic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shd w:val="clear" w:color="auto" w:fill="395796"/>
          </w:tcPr>
          <w:p>
            <w:pPr>
              <w:spacing w:after="0"/>
              <w:rPr>
                <w:sz w:val="14"/>
                <w:szCs w:val="14"/>
                <w:color w:val="auto"/>
              </w:rPr>
            </w:pPr>
          </w:p>
        </w:tc>
        <w:tc>
          <w:tcPr>
            <w:tcW w:w="1140" w:type="dxa"/>
            <w:vAlign w:val="bottom"/>
            <w:shd w:val="clear" w:color="auto" w:fill="395796"/>
          </w:tcPr>
          <w:p>
            <w:pPr>
              <w:spacing w:after="0"/>
              <w:rPr>
                <w:sz w:val="14"/>
                <w:szCs w:val="14"/>
                <w:color w:val="auto"/>
              </w:rPr>
            </w:pPr>
          </w:p>
        </w:tc>
        <w:tc>
          <w:tcPr>
            <w:tcW w:w="760" w:type="dxa"/>
            <w:vAlign w:val="bottom"/>
            <w:shd w:val="clear" w:color="auto" w:fill="395796"/>
          </w:tcPr>
          <w:p>
            <w:pPr>
              <w:spacing w:after="0"/>
              <w:rPr>
                <w:sz w:val="14"/>
                <w:szCs w:val="14"/>
                <w:color w:val="auto"/>
              </w:rPr>
            </w:pPr>
          </w:p>
        </w:tc>
        <w:tc>
          <w:tcPr>
            <w:tcW w:w="940" w:type="dxa"/>
            <w:vAlign w:val="bottom"/>
            <w:shd w:val="clear" w:color="auto" w:fill="395796"/>
          </w:tcPr>
          <w:p>
            <w:pPr>
              <w:spacing w:after="0"/>
              <w:rPr>
                <w:sz w:val="14"/>
                <w:szCs w:val="14"/>
                <w:color w:val="auto"/>
              </w:rPr>
            </w:pPr>
          </w:p>
        </w:tc>
        <w:tc>
          <w:tcPr>
            <w:tcW w:w="220" w:type="dxa"/>
            <w:vAlign w:val="bottom"/>
            <w:shd w:val="clear" w:color="auto" w:fill="395796"/>
          </w:tcPr>
          <w:p>
            <w:pPr>
              <w:spacing w:after="0"/>
              <w:rPr>
                <w:sz w:val="14"/>
                <w:szCs w:val="14"/>
                <w:color w:val="auto"/>
              </w:rPr>
            </w:pPr>
          </w:p>
        </w:tc>
        <w:tc>
          <w:tcPr>
            <w:tcW w:w="72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w w:val="94"/>
              </w:rPr>
              <w:t>securities</w:t>
            </w:r>
          </w:p>
        </w:tc>
        <w:tc>
          <w:tcPr>
            <w:tcW w:w="280" w:type="dxa"/>
            <w:vAlign w:val="bottom"/>
            <w:shd w:val="clear" w:color="auto" w:fill="395796"/>
          </w:tcPr>
          <w:p>
            <w:pPr>
              <w:spacing w:after="0"/>
              <w:rPr>
                <w:sz w:val="14"/>
                <w:szCs w:val="14"/>
                <w:color w:val="auto"/>
              </w:rPr>
            </w:pPr>
          </w:p>
        </w:tc>
        <w:tc>
          <w:tcPr>
            <w:tcW w:w="700" w:type="dxa"/>
            <w:vAlign w:val="bottom"/>
            <w:shd w:val="clear" w:color="auto" w:fill="395796"/>
          </w:tcPr>
          <w:p>
            <w:pPr>
              <w:jc w:val="right"/>
              <w:ind w:right="17"/>
              <w:spacing w:after="0"/>
              <w:rPr>
                <w:sz w:val="20"/>
                <w:szCs w:val="20"/>
                <w:color w:val="auto"/>
              </w:rPr>
            </w:pPr>
            <w:r>
              <w:rPr>
                <w:rFonts w:ascii="Arial" w:cs="Arial" w:eastAsia="Arial" w:hAnsi="Arial"/>
                <w:sz w:val="14"/>
                <w:szCs w:val="14"/>
                <w:b w:val="1"/>
                <w:bCs w:val="1"/>
                <w:color w:val="FFFFFF"/>
              </w:rPr>
              <w:t>Exercise</w:t>
            </w:r>
          </w:p>
        </w:tc>
        <w:tc>
          <w:tcPr>
            <w:tcW w:w="240" w:type="dxa"/>
            <w:vAlign w:val="bottom"/>
            <w:shd w:val="clear" w:color="auto" w:fill="395796"/>
          </w:tcPr>
          <w:p>
            <w:pPr>
              <w:spacing w:after="0"/>
              <w:rPr>
                <w:sz w:val="14"/>
                <w:szCs w:val="14"/>
                <w:color w:val="auto"/>
              </w:rPr>
            </w:pPr>
          </w:p>
        </w:tc>
        <w:tc>
          <w:tcPr>
            <w:tcW w:w="640" w:type="dxa"/>
            <w:vAlign w:val="bottom"/>
            <w:shd w:val="clear" w:color="auto" w:fill="395796"/>
          </w:tcPr>
          <w:p>
            <w:pPr>
              <w:jc w:val="right"/>
              <w:ind w:right="21"/>
              <w:spacing w:after="0"/>
              <w:rPr>
                <w:sz w:val="20"/>
                <w:szCs w:val="20"/>
                <w:color w:val="auto"/>
              </w:rPr>
            </w:pPr>
            <w:r>
              <w:rPr>
                <w:rFonts w:ascii="Arial" w:cs="Arial" w:eastAsia="Arial" w:hAnsi="Arial"/>
                <w:sz w:val="14"/>
                <w:szCs w:val="14"/>
                <w:b w:val="1"/>
                <w:bCs w:val="1"/>
                <w:color w:val="FFFFFF"/>
                <w:w w:val="95"/>
              </w:rPr>
              <w:t>date fair</w:t>
            </w:r>
          </w:p>
        </w:tc>
        <w:tc>
          <w:tcPr>
            <w:tcW w:w="240" w:type="dxa"/>
            <w:vAlign w:val="bottom"/>
            <w:shd w:val="clear" w:color="auto" w:fill="395796"/>
          </w:tcPr>
          <w:p>
            <w:pPr>
              <w:spacing w:after="0"/>
              <w:rPr>
                <w:sz w:val="14"/>
                <w:szCs w:val="14"/>
                <w:color w:val="auto"/>
              </w:rPr>
            </w:pPr>
          </w:p>
        </w:tc>
        <w:tc>
          <w:tcPr>
            <w:tcW w:w="2920" w:type="dxa"/>
            <w:vAlign w:val="bottom"/>
            <w:shd w:val="clear" w:color="auto" w:fill="395796"/>
          </w:tcPr>
          <w:p>
            <w:pPr>
              <w:jc w:val="right"/>
              <w:ind w:right="3"/>
              <w:spacing w:after="0"/>
              <w:rPr>
                <w:sz w:val="20"/>
                <w:szCs w:val="20"/>
                <w:color w:val="auto"/>
              </w:rPr>
            </w:pPr>
            <w:r>
              <w:rPr>
                <w:rFonts w:ascii="Arial" w:cs="Arial" w:eastAsia="Arial" w:hAnsi="Arial"/>
                <w:sz w:val="14"/>
                <w:szCs w:val="14"/>
                <w:b w:val="1"/>
                <w:bCs w:val="1"/>
                <w:color w:val="FFFFFF"/>
              </w:rPr>
              <w:t>information and the trading day beginning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 w:type="dxa"/>
            <w:vAlign w:val="bottom"/>
            <w:shd w:val="clear" w:color="auto" w:fill="395796"/>
          </w:tcPr>
          <w:p>
            <w:pPr>
              <w:spacing w:after="0"/>
              <w:rPr>
                <w:sz w:val="14"/>
                <w:szCs w:val="14"/>
                <w:color w:val="auto"/>
              </w:rPr>
            </w:pPr>
          </w:p>
        </w:tc>
        <w:tc>
          <w:tcPr>
            <w:tcW w:w="1140" w:type="dxa"/>
            <w:vAlign w:val="bottom"/>
            <w:shd w:val="clear" w:color="auto" w:fill="395796"/>
          </w:tcPr>
          <w:p>
            <w:pPr>
              <w:spacing w:after="0"/>
              <w:rPr>
                <w:sz w:val="14"/>
                <w:szCs w:val="14"/>
                <w:color w:val="auto"/>
              </w:rPr>
            </w:pPr>
          </w:p>
        </w:tc>
        <w:tc>
          <w:tcPr>
            <w:tcW w:w="760" w:type="dxa"/>
            <w:vAlign w:val="bottom"/>
            <w:shd w:val="clear" w:color="auto" w:fill="395796"/>
          </w:tcPr>
          <w:p>
            <w:pPr>
              <w:spacing w:after="0"/>
              <w:rPr>
                <w:sz w:val="14"/>
                <w:szCs w:val="14"/>
                <w:color w:val="auto"/>
              </w:rPr>
            </w:pPr>
          </w:p>
        </w:tc>
        <w:tc>
          <w:tcPr>
            <w:tcW w:w="940" w:type="dxa"/>
            <w:vAlign w:val="bottom"/>
            <w:shd w:val="clear" w:color="auto" w:fill="395796"/>
          </w:tcPr>
          <w:p>
            <w:pPr>
              <w:spacing w:after="0"/>
              <w:rPr>
                <w:sz w:val="14"/>
                <w:szCs w:val="14"/>
                <w:color w:val="auto"/>
              </w:rPr>
            </w:pPr>
          </w:p>
        </w:tc>
        <w:tc>
          <w:tcPr>
            <w:tcW w:w="940" w:type="dxa"/>
            <w:vAlign w:val="bottom"/>
            <w:gridSpan w:val="2"/>
            <w:shd w:val="clear" w:color="auto" w:fill="395796"/>
          </w:tcPr>
          <w:p>
            <w:pPr>
              <w:jc w:val="right"/>
              <w:spacing w:after="0"/>
              <w:rPr>
                <w:sz w:val="20"/>
                <w:szCs w:val="20"/>
                <w:color w:val="auto"/>
              </w:rPr>
            </w:pPr>
            <w:r>
              <w:rPr>
                <w:rFonts w:ascii="Arial" w:cs="Arial" w:eastAsia="Arial" w:hAnsi="Arial"/>
                <w:sz w:val="14"/>
                <w:szCs w:val="14"/>
                <w:b w:val="1"/>
                <w:bCs w:val="1"/>
                <w:color w:val="FFFFFF"/>
              </w:rPr>
              <w:t>underlying</w:t>
            </w:r>
          </w:p>
        </w:tc>
        <w:tc>
          <w:tcPr>
            <w:tcW w:w="980" w:type="dxa"/>
            <w:vAlign w:val="bottom"/>
            <w:gridSpan w:val="2"/>
            <w:shd w:val="clear" w:color="auto" w:fill="395796"/>
          </w:tcPr>
          <w:p>
            <w:pPr>
              <w:jc w:val="right"/>
              <w:ind w:right="17"/>
              <w:spacing w:after="0"/>
              <w:rPr>
                <w:sz w:val="20"/>
                <w:szCs w:val="20"/>
                <w:color w:val="auto"/>
              </w:rPr>
            </w:pPr>
            <w:r>
              <w:rPr>
                <w:rFonts w:ascii="Arial" w:cs="Arial" w:eastAsia="Arial" w:hAnsi="Arial"/>
                <w:sz w:val="14"/>
                <w:szCs w:val="14"/>
                <w:b w:val="1"/>
                <w:bCs w:val="1"/>
                <w:color w:val="FFFFFF"/>
              </w:rPr>
              <w:t>price of the</w:t>
            </w:r>
          </w:p>
        </w:tc>
        <w:tc>
          <w:tcPr>
            <w:tcW w:w="240" w:type="dxa"/>
            <w:vAlign w:val="bottom"/>
            <w:shd w:val="clear" w:color="auto" w:fill="395796"/>
          </w:tcPr>
          <w:p>
            <w:pPr>
              <w:spacing w:after="0"/>
              <w:rPr>
                <w:sz w:val="14"/>
                <w:szCs w:val="14"/>
                <w:color w:val="auto"/>
              </w:rPr>
            </w:pPr>
          </w:p>
        </w:tc>
        <w:tc>
          <w:tcPr>
            <w:tcW w:w="640" w:type="dxa"/>
            <w:vAlign w:val="bottom"/>
            <w:shd w:val="clear" w:color="auto" w:fill="395796"/>
          </w:tcPr>
          <w:p>
            <w:pPr>
              <w:jc w:val="right"/>
              <w:ind w:right="21"/>
              <w:spacing w:after="0"/>
              <w:rPr>
                <w:sz w:val="20"/>
                <w:szCs w:val="20"/>
                <w:color w:val="auto"/>
              </w:rPr>
            </w:pPr>
            <w:r>
              <w:rPr>
                <w:rFonts w:ascii="Arial" w:cs="Arial" w:eastAsia="Arial" w:hAnsi="Arial"/>
                <w:sz w:val="14"/>
                <w:szCs w:val="14"/>
                <w:b w:val="1"/>
                <w:bCs w:val="1"/>
                <w:color w:val="FFFFFF"/>
                <w:w w:val="98"/>
              </w:rPr>
              <w:t>value of</w:t>
            </w:r>
          </w:p>
        </w:tc>
        <w:tc>
          <w:tcPr>
            <w:tcW w:w="240" w:type="dxa"/>
            <w:vAlign w:val="bottom"/>
            <w:shd w:val="clear" w:color="auto" w:fill="395796"/>
          </w:tcPr>
          <w:p>
            <w:pPr>
              <w:spacing w:after="0"/>
              <w:rPr>
                <w:sz w:val="14"/>
                <w:szCs w:val="14"/>
                <w:color w:val="auto"/>
              </w:rPr>
            </w:pPr>
          </w:p>
        </w:tc>
        <w:tc>
          <w:tcPr>
            <w:tcW w:w="2920" w:type="dxa"/>
            <w:vAlign w:val="bottom"/>
            <w:shd w:val="clear" w:color="auto" w:fill="395796"/>
          </w:tcPr>
          <w:p>
            <w:pPr>
              <w:jc w:val="right"/>
              <w:ind w:right="3"/>
              <w:spacing w:after="0"/>
              <w:rPr>
                <w:sz w:val="20"/>
                <w:szCs w:val="20"/>
                <w:color w:val="auto"/>
              </w:rPr>
            </w:pPr>
            <w:r>
              <w:rPr>
                <w:rFonts w:ascii="Arial" w:cs="Arial" w:eastAsia="Arial" w:hAnsi="Arial"/>
                <w:sz w:val="14"/>
                <w:szCs w:val="14"/>
                <w:b w:val="1"/>
                <w:bCs w:val="1"/>
                <w:color w:val="FFFFFF"/>
              </w:rPr>
              <w:t>immediately following the disclosure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00" w:type="dxa"/>
            <w:vAlign w:val="bottom"/>
            <w:shd w:val="clear" w:color="auto" w:fill="395796"/>
          </w:tcPr>
          <w:p>
            <w:pPr>
              <w:ind w:left="60"/>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395796"/>
          </w:tcPr>
          <w:p>
            <w:pPr>
              <w:spacing w:after="0"/>
              <w:rPr>
                <w:sz w:val="17"/>
                <w:szCs w:val="17"/>
                <w:color w:val="auto"/>
              </w:rPr>
            </w:pPr>
          </w:p>
        </w:tc>
        <w:tc>
          <w:tcPr>
            <w:tcW w:w="760" w:type="dxa"/>
            <w:vAlign w:val="bottom"/>
            <w:shd w:val="clear" w:color="auto" w:fill="395796"/>
          </w:tcPr>
          <w:p>
            <w:pPr>
              <w:ind w:left="400"/>
              <w:spacing w:after="0"/>
              <w:rPr>
                <w:sz w:val="20"/>
                <w:szCs w:val="20"/>
                <w:color w:val="auto"/>
              </w:rPr>
            </w:pPr>
            <w:r>
              <w:rPr>
                <w:rFonts w:ascii="Arial" w:cs="Arial" w:eastAsia="Arial" w:hAnsi="Arial"/>
                <w:sz w:val="14"/>
                <w:szCs w:val="14"/>
                <w:b w:val="1"/>
                <w:bCs w:val="1"/>
                <w:color w:val="FFFFFF"/>
              </w:rPr>
              <w:t>​ ​</w:t>
            </w:r>
          </w:p>
        </w:tc>
        <w:tc>
          <w:tcPr>
            <w:tcW w:w="94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Grant Date</w:t>
            </w:r>
          </w:p>
        </w:tc>
        <w:tc>
          <w:tcPr>
            <w:tcW w:w="940" w:type="dxa"/>
            <w:vAlign w:val="bottom"/>
            <w:gridSpan w:val="2"/>
            <w:shd w:val="clear" w:color="auto" w:fill="395796"/>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the award</w:t>
            </w:r>
          </w:p>
        </w:tc>
        <w:tc>
          <w:tcPr>
            <w:tcW w:w="280" w:type="dxa"/>
            <w:vAlign w:val="bottom"/>
            <w:shd w:val="clear" w:color="auto" w:fill="395796"/>
          </w:tcPr>
          <w:p>
            <w:pPr>
              <w:ind w:left="60"/>
              <w:spacing w:after="0"/>
              <w:rPr>
                <w:sz w:val="20"/>
                <w:szCs w:val="20"/>
                <w:color w:val="auto"/>
              </w:rPr>
            </w:pPr>
            <w:r>
              <w:rPr>
                <w:rFonts w:ascii="Arial" w:cs="Arial" w:eastAsia="Arial" w:hAnsi="Arial"/>
                <w:sz w:val="14"/>
                <w:szCs w:val="14"/>
                <w:b w:val="1"/>
                <w:bCs w:val="1"/>
                <w:color w:val="FFFFFF"/>
              </w:rPr>
              <w:t>​ ​</w:t>
            </w:r>
          </w:p>
        </w:tc>
        <w:tc>
          <w:tcPr>
            <w:tcW w:w="70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award</w:t>
            </w:r>
          </w:p>
        </w:tc>
        <w:tc>
          <w:tcPr>
            <w:tcW w:w="880" w:type="dxa"/>
            <w:vAlign w:val="bottom"/>
            <w:gridSpan w:val="2"/>
            <w:shd w:val="clear" w:color="auto" w:fill="395796"/>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the award</w:t>
            </w:r>
          </w:p>
        </w:tc>
        <w:tc>
          <w:tcPr>
            <w:tcW w:w="240" w:type="dxa"/>
            <w:vAlign w:val="bottom"/>
            <w:shd w:val="clear" w:color="auto" w:fill="395796"/>
          </w:tcPr>
          <w:p>
            <w:pPr>
              <w:ind w:left="60"/>
              <w:spacing w:after="0"/>
              <w:rPr>
                <w:sz w:val="20"/>
                <w:szCs w:val="20"/>
                <w:color w:val="auto"/>
              </w:rPr>
            </w:pPr>
            <w:r>
              <w:rPr>
                <w:rFonts w:ascii="Arial" w:cs="Arial" w:eastAsia="Arial" w:hAnsi="Arial"/>
                <w:sz w:val="14"/>
                <w:szCs w:val="14"/>
                <w:b w:val="1"/>
                <w:bCs w:val="1"/>
                <w:color w:val="FFFFFF"/>
              </w:rPr>
              <w:t>​ ​</w:t>
            </w:r>
          </w:p>
        </w:tc>
        <w:tc>
          <w:tcPr>
            <w:tcW w:w="292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material nonpublic information</w:t>
            </w:r>
          </w:p>
        </w:tc>
        <w:tc>
          <w:tcPr>
            <w:tcW w:w="60" w:type="dxa"/>
            <w:vAlign w:val="bottom"/>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500" w:type="dxa"/>
            <w:vAlign w:val="bottom"/>
          </w:tcPr>
          <w:p>
            <w:pPr>
              <w:ind w:left="60"/>
              <w:spacing w:after="0"/>
              <w:rPr>
                <w:sz w:val="20"/>
                <w:szCs w:val="20"/>
                <w:color w:val="auto"/>
              </w:rPr>
            </w:pPr>
            <w:r>
              <w:rPr>
                <w:rFonts w:ascii="Arial" w:cs="Arial" w:eastAsia="Arial" w:hAnsi="Arial"/>
                <w:sz w:val="18"/>
                <w:szCs w:val="18"/>
                <w:color w:val="auto"/>
                <w:w w:val="97"/>
              </w:rPr>
              <w:t>Brent​</w:t>
            </w:r>
          </w:p>
        </w:tc>
        <w:tc>
          <w:tcPr>
            <w:tcW w:w="1140" w:type="dxa"/>
            <w:vAlign w:val="bottom"/>
          </w:tcPr>
          <w:p>
            <w:pPr>
              <w:ind w:left="40"/>
              <w:spacing w:after="0"/>
              <w:rPr>
                <w:sz w:val="20"/>
                <w:szCs w:val="20"/>
                <w:color w:val="auto"/>
              </w:rPr>
            </w:pPr>
            <w:r>
              <w:rPr>
                <w:rFonts w:ascii="Arial" w:cs="Arial" w:eastAsia="Arial" w:hAnsi="Arial"/>
                <w:sz w:val="18"/>
                <w:szCs w:val="18"/>
                <w:color w:val="auto"/>
              </w:rPr>
              <w:t>C. Bruun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 ​March 3, 2025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 200,000</w:t>
            </w:r>
          </w:p>
        </w:tc>
        <w:tc>
          <w:tcPr>
            <w:tcW w:w="280" w:type="dxa"/>
            <w:vAlign w:val="bottom"/>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$5.75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  $5.75</w:t>
            </w:r>
          </w:p>
        </w:tc>
        <w:tc>
          <w:tcPr>
            <w:tcW w:w="240" w:type="dxa"/>
            <w:vAlign w:val="bottom"/>
          </w:tcPr>
          <w:p>
            <w:pPr>
              <w:ind w:left="60"/>
              <w:spacing w:after="0"/>
              <w:rPr>
                <w:sz w:val="20"/>
                <w:szCs w:val="20"/>
                <w:color w:val="auto"/>
              </w:rPr>
            </w:pPr>
            <w:r>
              <w:rPr>
                <w:rFonts w:ascii="Arial" w:cs="Arial" w:eastAsia="Arial" w:hAnsi="Arial"/>
                <w:sz w:val="18"/>
                <w:szCs w:val="18"/>
                <w:color w:val="auto"/>
              </w:rPr>
              <w:t>​ ​</w:t>
            </w:r>
          </w:p>
        </w:tc>
        <w:tc>
          <w:tcPr>
            <w:tcW w:w="2980" w:type="dxa"/>
            <w:vAlign w:val="bottom"/>
            <w:gridSpan w:val="2"/>
          </w:tcPr>
          <w:p>
            <w:pPr>
              <w:ind w:left="2300"/>
              <w:spacing w:after="0"/>
              <w:rPr>
                <w:sz w:val="20"/>
                <w:szCs w:val="20"/>
                <w:color w:val="auto"/>
              </w:rPr>
            </w:pPr>
            <w:r>
              <w:rPr>
                <w:rFonts w:ascii="Arial" w:cs="Arial" w:eastAsia="Arial" w:hAnsi="Arial"/>
                <w:sz w:val="18"/>
                <w:szCs w:val="18"/>
                <w:color w:val="auto"/>
              </w:rPr>
              <w:t>-5.75% ​</w:t>
            </w:r>
          </w:p>
        </w:tc>
        <w:tc>
          <w:tcPr>
            <w:tcW w:w="0" w:type="dxa"/>
            <w:vAlign w:val="bottom"/>
          </w:tcPr>
          <w:p>
            <w:pPr>
              <w:spacing w:after="0"/>
              <w:rPr>
                <w:sz w:val="1"/>
                <w:szCs w:val="1"/>
                <w:color w:val="auto"/>
              </w:rPr>
            </w:pPr>
          </w:p>
        </w:tc>
      </w:tr>
      <w:tr>
        <w:trPr>
          <w:trHeight w:val="203"/>
        </w:trPr>
        <w:tc>
          <w:tcPr>
            <w:tcW w:w="1640" w:type="dxa"/>
            <w:vAlign w:val="bottom"/>
            <w:gridSpan w:val="2"/>
            <w:shd w:val="clear" w:color="auto" w:fill="D8D8D8"/>
          </w:tcPr>
          <w:p>
            <w:pPr>
              <w:ind w:left="60"/>
              <w:spacing w:after="0" w:line="202" w:lineRule="exact"/>
              <w:rPr>
                <w:sz w:val="20"/>
                <w:szCs w:val="20"/>
                <w:color w:val="auto"/>
              </w:rPr>
            </w:pPr>
            <w:r>
              <w:rPr>
                <w:rFonts w:ascii="Arial" w:cs="Arial" w:eastAsia="Arial" w:hAnsi="Arial"/>
                <w:sz w:val="18"/>
                <w:szCs w:val="18"/>
                <w:color w:val="auto"/>
              </w:rPr>
              <w:t>Felise Feingold</w:t>
            </w:r>
          </w:p>
        </w:tc>
        <w:tc>
          <w:tcPr>
            <w:tcW w:w="170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March 3, 2025</w:t>
            </w:r>
          </w:p>
        </w:tc>
        <w:tc>
          <w:tcPr>
            <w:tcW w:w="220" w:type="dxa"/>
            <w:vAlign w:val="bottom"/>
            <w:vMerge w:val="restart"/>
            <w:shd w:val="clear" w:color="auto" w:fill="D8D8D8"/>
          </w:tcPr>
          <w:p>
            <w:pPr>
              <w:ind w:left="60"/>
              <w:spacing w:after="0"/>
              <w:rPr>
                <w:sz w:val="20"/>
                <w:szCs w:val="20"/>
                <w:color w:val="auto"/>
              </w:rPr>
            </w:pPr>
            <w:r>
              <w:rPr>
                <w:rFonts w:ascii="Arial" w:cs="Arial" w:eastAsia="Arial" w:hAnsi="Arial"/>
                <w:sz w:val="18"/>
                <w:szCs w:val="18"/>
                <w:color w:val="auto"/>
              </w:rPr>
              <w:t>​ ​</w:t>
            </w:r>
          </w:p>
        </w:tc>
        <w:tc>
          <w:tcPr>
            <w:tcW w:w="7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80,000</w:t>
            </w:r>
          </w:p>
        </w:tc>
        <w:tc>
          <w:tcPr>
            <w:tcW w:w="280" w:type="dxa"/>
            <w:vAlign w:val="bottom"/>
            <w:vMerge w:val="restart"/>
            <w:shd w:val="clear" w:color="auto" w:fill="D8D8D8"/>
          </w:tcPr>
          <w:p>
            <w:pPr>
              <w:ind w:left="6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$5.75</w:t>
            </w:r>
          </w:p>
        </w:tc>
        <w:tc>
          <w:tcPr>
            <w:tcW w:w="240" w:type="dxa"/>
            <w:vAlign w:val="bottom"/>
            <w:vMerge w:val="restart"/>
            <w:shd w:val="clear" w:color="auto" w:fill="D8D8D8"/>
          </w:tcPr>
          <w:p>
            <w:pPr>
              <w:ind w:left="60"/>
              <w:spacing w:after="0"/>
              <w:rPr>
                <w:sz w:val="20"/>
                <w:szCs w:val="20"/>
                <w:color w:val="auto"/>
              </w:rPr>
            </w:pPr>
            <w:r>
              <w:rPr>
                <w:rFonts w:ascii="Arial" w:cs="Arial" w:eastAsia="Arial" w:hAnsi="Arial"/>
                <w:sz w:val="18"/>
                <w:szCs w:val="18"/>
                <w:color w:val="auto"/>
              </w:rPr>
              <w:t>​ ​</w:t>
            </w:r>
          </w:p>
        </w:tc>
        <w:tc>
          <w:tcPr>
            <w:tcW w:w="64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$5.75</w:t>
            </w:r>
          </w:p>
        </w:tc>
        <w:tc>
          <w:tcPr>
            <w:tcW w:w="240" w:type="dxa"/>
            <w:vAlign w:val="bottom"/>
            <w:vMerge w:val="restart"/>
            <w:shd w:val="clear" w:color="auto" w:fill="D8D8D8"/>
          </w:tcPr>
          <w:p>
            <w:pPr>
              <w:ind w:left="60"/>
              <w:spacing w:after="0"/>
              <w:rPr>
                <w:sz w:val="20"/>
                <w:szCs w:val="20"/>
                <w:color w:val="auto"/>
              </w:rPr>
            </w:pPr>
            <w:r>
              <w:rPr>
                <w:rFonts w:ascii="Arial" w:cs="Arial" w:eastAsia="Arial" w:hAnsi="Arial"/>
                <w:sz w:val="18"/>
                <w:szCs w:val="18"/>
                <w:color w:val="auto"/>
              </w:rPr>
              <w:t>​ ​</w:t>
            </w:r>
          </w:p>
        </w:tc>
        <w:tc>
          <w:tcPr>
            <w:tcW w:w="29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-5.75%</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00" w:type="dxa"/>
            <w:vAlign w:val="bottom"/>
            <w:shd w:val="clear" w:color="auto" w:fill="D8D8D8"/>
          </w:tcPr>
          <w:p>
            <w:pPr>
              <w:ind w:left="60"/>
              <w:spacing w:after="0" w:line="54" w:lineRule="exact"/>
              <w:rPr>
                <w:sz w:val="20"/>
                <w:szCs w:val="20"/>
                <w:color w:val="auto"/>
              </w:rPr>
            </w:pPr>
            <w:r>
              <w:rPr>
                <w:rFonts w:ascii="Arial" w:cs="Arial" w:eastAsia="Arial" w:hAnsi="Arial"/>
                <w:sz w:val="6"/>
                <w:szCs w:val="6"/>
                <w:color w:val="auto"/>
              </w:rPr>
              <w:t>​</w:t>
            </w:r>
          </w:p>
        </w:tc>
        <w:tc>
          <w:tcPr>
            <w:tcW w:w="1140" w:type="dxa"/>
            <w:vAlign w:val="bottom"/>
            <w:shd w:val="clear" w:color="auto" w:fill="D8D8D8"/>
          </w:tcPr>
          <w:p>
            <w:pPr>
              <w:spacing w:after="0"/>
              <w:rPr>
                <w:sz w:val="4"/>
                <w:szCs w:val="4"/>
                <w:color w:val="auto"/>
              </w:rPr>
            </w:pPr>
          </w:p>
        </w:tc>
        <w:tc>
          <w:tcPr>
            <w:tcW w:w="760" w:type="dxa"/>
            <w:vAlign w:val="bottom"/>
            <w:shd w:val="clear" w:color="auto" w:fill="D8D8D8"/>
          </w:tcPr>
          <w:p>
            <w:pPr>
              <w:ind w:left="400"/>
              <w:spacing w:after="0" w:line="54" w:lineRule="exact"/>
              <w:rPr>
                <w:sz w:val="20"/>
                <w:szCs w:val="20"/>
                <w:color w:val="auto"/>
              </w:rPr>
            </w:pPr>
            <w:r>
              <w:rPr>
                <w:rFonts w:ascii="Arial" w:cs="Arial" w:eastAsia="Arial" w:hAnsi="Arial"/>
                <w:sz w:val="6"/>
                <w:szCs w:val="6"/>
                <w:color w:val="auto"/>
              </w:rPr>
              <w:t>​ ​</w:t>
            </w:r>
          </w:p>
        </w:tc>
        <w:tc>
          <w:tcPr>
            <w:tcW w:w="940" w:type="dxa"/>
            <w:vAlign w:val="bottom"/>
            <w:shd w:val="clear" w:color="auto" w:fill="D8D8D8"/>
          </w:tcPr>
          <w:p>
            <w:pPr>
              <w:spacing w:after="0"/>
              <w:rPr>
                <w:sz w:val="4"/>
                <w:szCs w:val="4"/>
                <w:color w:val="auto"/>
              </w:rPr>
            </w:pPr>
          </w:p>
        </w:tc>
        <w:tc>
          <w:tcPr>
            <w:tcW w:w="220" w:type="dxa"/>
            <w:vAlign w:val="bottom"/>
            <w:vMerge w:val="continue"/>
            <w:shd w:val="clear" w:color="auto" w:fill="D8D8D8"/>
          </w:tcPr>
          <w:p>
            <w:pPr>
              <w:spacing w:after="0"/>
              <w:rPr>
                <w:sz w:val="4"/>
                <w:szCs w:val="4"/>
                <w:color w:val="auto"/>
              </w:rPr>
            </w:pPr>
          </w:p>
        </w:tc>
        <w:tc>
          <w:tcPr>
            <w:tcW w:w="720" w:type="dxa"/>
            <w:vAlign w:val="bottom"/>
            <w:shd w:val="clear" w:color="auto" w:fill="D8D8D8"/>
          </w:tcPr>
          <w:p>
            <w:pPr>
              <w:spacing w:after="0"/>
              <w:rPr>
                <w:sz w:val="4"/>
                <w:szCs w:val="4"/>
                <w:color w:val="auto"/>
              </w:rPr>
            </w:pPr>
          </w:p>
        </w:tc>
        <w:tc>
          <w:tcPr>
            <w:tcW w:w="280" w:type="dxa"/>
            <w:vAlign w:val="bottom"/>
            <w:vMerge w:val="continue"/>
            <w:shd w:val="clear" w:color="auto" w:fill="D8D8D8"/>
          </w:tcPr>
          <w:p>
            <w:pPr>
              <w:spacing w:after="0"/>
              <w:rPr>
                <w:sz w:val="4"/>
                <w:szCs w:val="4"/>
                <w:color w:val="auto"/>
              </w:rPr>
            </w:pPr>
          </w:p>
        </w:tc>
        <w:tc>
          <w:tcPr>
            <w:tcW w:w="700" w:type="dxa"/>
            <w:vAlign w:val="bottom"/>
            <w:shd w:val="clear" w:color="auto" w:fill="D8D8D8"/>
          </w:tcPr>
          <w:p>
            <w:pPr>
              <w:spacing w:after="0"/>
              <w:rPr>
                <w:sz w:val="4"/>
                <w:szCs w:val="4"/>
                <w:color w:val="auto"/>
              </w:rPr>
            </w:pPr>
          </w:p>
        </w:tc>
        <w:tc>
          <w:tcPr>
            <w:tcW w:w="240" w:type="dxa"/>
            <w:vAlign w:val="bottom"/>
            <w:vMerge w:val="continue"/>
            <w:shd w:val="clear" w:color="auto" w:fill="D8D8D8"/>
          </w:tcPr>
          <w:p>
            <w:pPr>
              <w:spacing w:after="0"/>
              <w:rPr>
                <w:sz w:val="4"/>
                <w:szCs w:val="4"/>
                <w:color w:val="auto"/>
              </w:rPr>
            </w:pPr>
          </w:p>
        </w:tc>
        <w:tc>
          <w:tcPr>
            <w:tcW w:w="640" w:type="dxa"/>
            <w:vAlign w:val="bottom"/>
            <w:shd w:val="clear" w:color="auto" w:fill="D8D8D8"/>
          </w:tcPr>
          <w:p>
            <w:pPr>
              <w:spacing w:after="0"/>
              <w:rPr>
                <w:sz w:val="4"/>
                <w:szCs w:val="4"/>
                <w:color w:val="auto"/>
              </w:rPr>
            </w:pPr>
          </w:p>
        </w:tc>
        <w:tc>
          <w:tcPr>
            <w:tcW w:w="240" w:type="dxa"/>
            <w:vAlign w:val="bottom"/>
            <w:vMerge w:val="continue"/>
            <w:shd w:val="clear" w:color="auto" w:fill="D8D8D8"/>
          </w:tcPr>
          <w:p>
            <w:pPr>
              <w:spacing w:after="0"/>
              <w:rPr>
                <w:sz w:val="4"/>
                <w:szCs w:val="4"/>
                <w:color w:val="auto"/>
              </w:rPr>
            </w:pPr>
          </w:p>
        </w:tc>
        <w:tc>
          <w:tcPr>
            <w:tcW w:w="2920" w:type="dxa"/>
            <w:vAlign w:val="bottom"/>
            <w:shd w:val="clear" w:color="auto" w:fill="D8D8D8"/>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4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Anthony Pike</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March 3, 2025</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28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$5.75</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$5.75</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2920" w:type="dxa"/>
            <w:vAlign w:val="bottom"/>
          </w:tcPr>
          <w:p>
            <w:pPr>
              <w:jc w:val="right"/>
              <w:spacing w:after="0" w:line="202" w:lineRule="exact"/>
              <w:rPr>
                <w:sz w:val="20"/>
                <w:szCs w:val="20"/>
                <w:color w:val="auto"/>
              </w:rPr>
            </w:pPr>
            <w:r>
              <w:rPr>
                <w:rFonts w:ascii="Arial" w:cs="Arial" w:eastAsia="Arial" w:hAnsi="Arial"/>
                <w:sz w:val="18"/>
                <w:szCs w:val="18"/>
                <w:color w:val="auto"/>
              </w:rPr>
              <w:t>-5.75%</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500" w:type="dxa"/>
            <w:vAlign w:val="bottom"/>
            <w:tcBorders>
              <w:bottom w:val="single" w:sz="8" w:color="auto"/>
            </w:tcBorders>
          </w:tcPr>
          <w:p>
            <w:pPr>
              <w:ind w:left="60"/>
              <w:spacing w:after="0" w:line="81" w:lineRule="exact"/>
              <w:rPr>
                <w:sz w:val="20"/>
                <w:szCs w:val="20"/>
                <w:color w:val="auto"/>
              </w:rPr>
            </w:pPr>
            <w:r>
              <w:rPr>
                <w:rFonts w:ascii="Arial" w:cs="Arial" w:eastAsia="Arial" w:hAnsi="Arial"/>
                <w:sz w:val="9"/>
                <w:szCs w:val="9"/>
                <w:color w:val="auto"/>
              </w:rPr>
              <w:t>​</w:t>
            </w:r>
          </w:p>
        </w:tc>
        <w:tc>
          <w:tcPr>
            <w:tcW w:w="1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ind w:left="400"/>
              <w:spacing w:after="0" w:line="81" w:lineRule="exact"/>
              <w:rPr>
                <w:sz w:val="20"/>
                <w:szCs w:val="20"/>
                <w:color w:val="auto"/>
              </w:rPr>
            </w:pPr>
            <w:r>
              <w:rPr>
                <w:rFonts w:ascii="Arial" w:cs="Arial" w:eastAsia="Arial" w:hAnsi="Arial"/>
                <w:sz w:val="9"/>
                <w:szCs w:val="9"/>
                <w:color w:val="auto"/>
              </w:rPr>
              <w:t>​ ​</w:t>
            </w:r>
          </w:p>
        </w:tc>
        <w:tc>
          <w:tcPr>
            <w:tcW w:w="9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vMerge w:val="continue"/>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vMerge w:val="continue"/>
          </w:tcPr>
          <w:p>
            <w:pPr>
              <w:spacing w:after="0"/>
              <w:rPr>
                <w:sz w:val="7"/>
                <w:szCs w:val="7"/>
                <w:color w:val="auto"/>
              </w:rPr>
            </w:pPr>
          </w:p>
        </w:tc>
        <w:tc>
          <w:tcPr>
            <w:tcW w:w="2920" w:type="dxa"/>
            <w:vAlign w:val="bottom"/>
            <w:tcBorders>
              <w:bottom w:val="single" w:sz="8" w:color="auto"/>
            </w:tcBorders>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60"/>
          </w:cols>
          <w:pgMar w:left="580" w:top="97" w:right="1259" w:bottom="1440" w:gutter="0" w:footer="0" w:header="0"/>
          <w:type w:val="continuous"/>
        </w:sectPr>
      </w:pPr>
    </w:p>
    <w:p>
      <w:pPr>
        <w:spacing w:after="0" w:line="132" w:lineRule="exact"/>
        <w:rPr>
          <w:sz w:val="20"/>
          <w:szCs w:val="20"/>
          <w:color w:val="auto"/>
        </w:rPr>
      </w:pPr>
    </w:p>
    <w:p>
      <w:pPr>
        <w:jc w:val="both"/>
        <w:ind w:left="700"/>
        <w:spacing w:after="0" w:line="244" w:lineRule="auto"/>
        <w:rPr>
          <w:sz w:val="20"/>
          <w:szCs w:val="20"/>
          <w:color w:val="auto"/>
        </w:rPr>
      </w:pPr>
      <w:r>
        <w:rPr>
          <w:rFonts w:ascii="Arial" w:cs="Arial" w:eastAsia="Arial" w:hAnsi="Arial"/>
          <w:sz w:val="18"/>
          <w:szCs w:val="18"/>
          <w:i w:val="1"/>
          <w:iCs w:val="1"/>
          <w:u w:val="single" w:color="auto"/>
          <w:color w:val="auto"/>
        </w:rPr>
        <w:t>Pay Practices</w:t>
      </w:r>
      <w:r>
        <w:rPr>
          <w:rFonts w:ascii="Arial" w:cs="Arial" w:eastAsia="Arial" w:hAnsi="Arial"/>
          <w:sz w:val="18"/>
          <w:szCs w:val="18"/>
          <w:color w:val="auto"/>
        </w:rPr>
        <w:t>. We do not use certain executive pay</w:t>
      </w:r>
      <w:r>
        <w:rPr>
          <w:rFonts w:ascii="Arial" w:cs="Arial" w:eastAsia="Arial" w:hAnsi="Arial"/>
          <w:sz w:val="18"/>
          <w:szCs w:val="18"/>
          <w:i w:val="1"/>
          <w:iCs w:val="1"/>
          <w:color w:val="auto"/>
        </w:rPr>
        <w:t xml:space="preserve"> </w:t>
      </w:r>
      <w:r>
        <w:rPr>
          <w:rFonts w:ascii="Arial" w:cs="Arial" w:eastAsia="Arial" w:hAnsi="Arial"/>
          <w:sz w:val="18"/>
          <w:szCs w:val="18"/>
          <w:color w:val="auto"/>
        </w:rPr>
        <w:t>practices that stockholder advocates consider to be problematic. For example, we do not provide extensive perquisites to our named executive officers, we have a “double-trigger” requirement for executives to receive cash severance and equity vesting upon a change of control, and we do not provide any tax gross-ups. We also have no guaranteed salary increases.</w:t>
      </w:r>
    </w:p>
    <w:p>
      <w:pPr>
        <w:spacing w:after="0" w:line="72" w:lineRule="exact"/>
        <w:rPr>
          <w:sz w:val="20"/>
          <w:szCs w:val="20"/>
          <w:color w:val="auto"/>
        </w:rPr>
      </w:pPr>
    </w:p>
    <w:p>
      <w:pPr>
        <w:ind w:left="700"/>
        <w:spacing w:after="0"/>
        <w:tabs>
          <w:tab w:leader="none" w:pos="1760" w:val="left"/>
          <w:tab w:leader="none" w:pos="3620" w:val="left"/>
          <w:tab w:leader="none" w:pos="4120" w:val="left"/>
        </w:tabs>
        <w:rPr>
          <w:sz w:val="20"/>
          <w:szCs w:val="20"/>
          <w:color w:val="auto"/>
        </w:rPr>
      </w:pPr>
      <w:r>
        <w:rPr>
          <w:rFonts w:ascii="Arial" w:cs="Arial" w:eastAsia="Arial" w:hAnsi="Arial"/>
          <w:sz w:val="18"/>
          <w:szCs w:val="18"/>
          <w:i w:val="1"/>
          <w:iCs w:val="1"/>
          <w:u w:val="single" w:color="auto"/>
          <w:color w:val="auto"/>
        </w:rPr>
        <w:t>Consultant</w:t>
      </w:r>
      <w:r>
        <w:rPr>
          <w:sz w:val="20"/>
          <w:szCs w:val="20"/>
          <w:color w:val="auto"/>
        </w:rPr>
        <w:tab/>
      </w:r>
      <w:r>
        <w:rPr>
          <w:rFonts w:ascii="Arial" w:cs="Arial" w:eastAsia="Arial" w:hAnsi="Arial"/>
          <w:sz w:val="18"/>
          <w:szCs w:val="18"/>
          <w:i w:val="1"/>
          <w:iCs w:val="1"/>
          <w:u w:val="single" w:color="auto"/>
          <w:color w:val="auto"/>
        </w:rPr>
        <w:t>Independence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Our</w:t>
      </w:r>
      <w:r>
        <w:rPr>
          <w:sz w:val="20"/>
          <w:szCs w:val="20"/>
          <w:color w:val="auto"/>
        </w:rPr>
        <w:tab/>
      </w:r>
      <w:r>
        <w:rPr>
          <w:rFonts w:ascii="Arial" w:cs="Arial" w:eastAsia="Arial" w:hAnsi="Arial"/>
          <w:sz w:val="17"/>
          <w:szCs w:val="17"/>
          <w:color w:val="auto"/>
        </w:rPr>
        <w:t>compensation</w:t>
      </w:r>
    </w:p>
    <w:p>
      <w:pPr>
        <w:spacing w:after="0" w:line="27" w:lineRule="exact"/>
        <w:rPr>
          <w:sz w:val="20"/>
          <w:szCs w:val="20"/>
          <w:color w:val="auto"/>
        </w:rPr>
      </w:pPr>
    </w:p>
    <w:p>
      <w:pPr>
        <w:jc w:val="both"/>
        <w:ind w:left="700"/>
        <w:spacing w:after="0" w:line="242" w:lineRule="auto"/>
        <w:rPr>
          <w:sz w:val="20"/>
          <w:szCs w:val="20"/>
          <w:color w:val="auto"/>
        </w:rPr>
      </w:pPr>
      <w:r>
        <w:rPr>
          <w:rFonts w:ascii="Arial" w:cs="Arial" w:eastAsia="Arial" w:hAnsi="Arial"/>
          <w:sz w:val="18"/>
          <w:szCs w:val="18"/>
          <w:color w:val="auto"/>
        </w:rPr>
        <w:t>committee’s independent consultant is retained directly by the compensation committee, provides no other services to us, and has provided the compensation committee with a written attestation of its independence from management.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700"/>
        <w:spacing w:after="0" w:line="271" w:lineRule="auto"/>
        <w:rPr>
          <w:sz w:val="20"/>
          <w:szCs w:val="20"/>
          <w:color w:val="auto"/>
        </w:rPr>
      </w:pPr>
      <w:r>
        <w:rPr>
          <w:rFonts w:ascii="Arial" w:cs="Arial" w:eastAsia="Arial" w:hAnsi="Arial"/>
          <w:sz w:val="18"/>
          <w:szCs w:val="18"/>
          <w:color w:val="auto"/>
        </w:rPr>
        <w:t>Stockholders are being asked to vote on the following resolution:</w:t>
      </w:r>
    </w:p>
    <w:p>
      <w:pPr>
        <w:spacing w:after="0" w:line="59" w:lineRule="exact"/>
        <w:rPr>
          <w:sz w:val="20"/>
          <w:szCs w:val="20"/>
          <w:color w:val="auto"/>
        </w:rPr>
      </w:pPr>
    </w:p>
    <w:p>
      <w:pPr>
        <w:jc w:val="both"/>
        <w:ind w:left="700" w:right="20"/>
        <w:spacing w:after="0" w:line="271" w:lineRule="auto"/>
        <w:rPr>
          <w:sz w:val="20"/>
          <w:szCs w:val="20"/>
          <w:color w:val="auto"/>
        </w:rPr>
      </w:pPr>
      <w:r>
        <w:rPr>
          <w:rFonts w:ascii="Arial" w:cs="Arial" w:eastAsia="Arial" w:hAnsi="Arial"/>
          <w:sz w:val="18"/>
          <w:szCs w:val="18"/>
          <w:color w:val="auto"/>
        </w:rPr>
        <w:t>RESOLVED: That the compensation paid to the Company’s named executive officers, as disclosed in the</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Company’s proxy statement for the 2026 annual meeting of stockholders pursuant to Item 402 of Regulation S-K</w:t>
      </w:r>
    </w:p>
    <w:p>
      <w:pPr>
        <w:spacing w:after="0"/>
        <w:tabs>
          <w:tab w:leader="none" w:pos="1220" w:val="left"/>
          <w:tab w:leader="none" w:pos="1660" w:val="left"/>
          <w:tab w:leader="none" w:pos="2160" w:val="left"/>
          <w:tab w:leader="none" w:pos="3200" w:val="left"/>
          <w:tab w:leader="none" w:pos="3740" w:val="left"/>
        </w:tabs>
        <w:rPr>
          <w:sz w:val="20"/>
          <w:szCs w:val="20"/>
          <w:color w:val="auto"/>
        </w:rPr>
      </w:pPr>
      <w:r>
        <w:rPr>
          <w:rFonts w:ascii="Arial" w:cs="Arial" w:eastAsia="Arial" w:hAnsi="Arial"/>
          <w:sz w:val="18"/>
          <w:szCs w:val="18"/>
          <w:color w:val="auto"/>
        </w:rPr>
        <w:t>promulgated</w:t>
        <w:tab/>
        <w:t>by</w:t>
        <w:tab/>
        <w:t>the</w:t>
        <w:tab/>
        <w:t>Securities</w:t>
        <w:tab/>
        <w:t>and</w:t>
      </w:r>
      <w:r>
        <w:rPr>
          <w:sz w:val="20"/>
          <w:szCs w:val="20"/>
          <w:color w:val="auto"/>
        </w:rPr>
        <w:tab/>
      </w:r>
      <w:r>
        <w:rPr>
          <w:rFonts w:ascii="Arial" w:cs="Arial" w:eastAsia="Arial" w:hAnsi="Arial"/>
          <w:sz w:val="17"/>
          <w:szCs w:val="17"/>
          <w:color w:val="auto"/>
        </w:rPr>
        <w:t>Exchange</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Commission, including the executive compensation tables and accompanying narrative disclosures, be, and 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hereby is, approved.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Approval of this proposal requires the affirmative vote of</w:t>
      </w:r>
    </w:p>
    <w:p>
      <w:pPr>
        <w:spacing w:after="0" w:line="1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holders of a majority of the votes cast on the proposal at the annual meeting.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As an advisory vote, this proposal is not binding. The</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outcome of this advisory vote will not determine or overrule any decision by our directors or officers, create 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imply any change to the fiduciary duties of our directors or</w:t>
      </w:r>
    </w:p>
    <w:p>
      <w:pPr>
        <w:spacing w:after="0" w:line="7"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officers or create or imply any additional fiduciary duties for our directors or officers. However, our compensation</w:t>
      </w:r>
    </w:p>
    <w:p>
      <w:pPr>
        <w:spacing w:after="0" w:line="236" w:lineRule="auto"/>
        <w:rPr>
          <w:sz w:val="20"/>
          <w:szCs w:val="20"/>
          <w:color w:val="auto"/>
        </w:rPr>
      </w:pPr>
      <w:r>
        <w:rPr>
          <w:rFonts w:ascii="Arial" w:cs="Arial" w:eastAsia="Arial" w:hAnsi="Arial"/>
          <w:sz w:val="18"/>
          <w:szCs w:val="18"/>
          <w:color w:val="auto"/>
        </w:rPr>
        <w:t>committee and board of directors value the opinions</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expressed by our stockholders in their vote on this proposal and will consider the outcome of the vote when</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making future compensation decisions for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146685</wp:posOffset>
            </wp:positionV>
            <wp:extent cx="5948680" cy="8483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48680" cy="8483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200"/>
            <w:col w:w="4600"/>
          </w:cols>
          <w:pgMar w:left="580" w:top="97" w:right="1259" w:bottom="1440" w:gutter="0" w:footer="0" w:header="0"/>
          <w:type w:val="continuous"/>
        </w:sectPr>
      </w:pPr>
    </w:p>
    <w:p>
      <w:pPr>
        <w:spacing w:after="0" w:line="57" w:lineRule="exact"/>
        <w:rPr>
          <w:sz w:val="20"/>
          <w:szCs w:val="20"/>
          <w:color w:val="auto"/>
        </w:rPr>
      </w:pPr>
    </w:p>
    <w:p>
      <w:pPr>
        <w:jc w:val="both"/>
        <w:ind w:left="840" w:right="80" w:hanging="107"/>
        <w:spacing w:after="0" w:line="222" w:lineRule="auto"/>
        <w:rPr>
          <w:sz w:val="20"/>
          <w:szCs w:val="20"/>
          <w:color w:val="auto"/>
        </w:rPr>
      </w:pPr>
      <w:r>
        <w:rPr>
          <w:rFonts w:ascii="Arial" w:cs="Arial" w:eastAsia="Arial" w:hAnsi="Arial"/>
          <w:sz w:val="43"/>
          <w:szCs w:val="43"/>
          <w:b w:val="1"/>
          <w:bCs w:val="1"/>
          <w:color w:val="auto"/>
          <w:vertAlign w:val="superscript"/>
        </w:rPr>
        <w:t>​</w:t>
      </w:r>
      <w:r>
        <w:rPr>
          <w:rFonts w:ascii="Arial" w:cs="Arial" w:eastAsia="Arial" w:hAnsi="Arial"/>
          <w:sz w:val="22"/>
          <w:szCs w:val="22"/>
          <w:b w:val="1"/>
          <w:bCs w:val="1"/>
          <w:color w:val="auto"/>
        </w:rPr>
        <w:t xml:space="preserve"> Our board of directors unanimously recommends that you vote </w:t>
      </w:r>
      <w:r>
        <w:rPr>
          <w:rFonts w:ascii="Arial" w:cs="Arial" w:eastAsia="Arial" w:hAnsi="Arial"/>
          <w:sz w:val="22"/>
          <w:szCs w:val="22"/>
          <w:b w:val="1"/>
          <w:bCs w:val="1"/>
          <w:color w:val="395796"/>
        </w:rPr>
        <w:t>FOR</w:t>
      </w:r>
      <w:r>
        <w:rPr>
          <w:rFonts w:ascii="Arial" w:cs="Arial" w:eastAsia="Arial" w:hAnsi="Arial"/>
          <w:sz w:val="22"/>
          <w:szCs w:val="22"/>
          <w:b w:val="1"/>
          <w:bCs w:val="1"/>
          <w:color w:val="auto"/>
        </w:rPr>
        <w:t xml:space="preserve"> the approval of the</w:t>
      </w:r>
      <w:r>
        <w:rPr>
          <w:rFonts w:ascii="Arial" w:cs="Arial" w:eastAsia="Arial" w:hAnsi="Arial"/>
          <w:sz w:val="43"/>
          <w:szCs w:val="43"/>
          <w:b w:val="1"/>
          <w:bCs w:val="1"/>
          <w:color w:val="auto"/>
          <w:vertAlign w:val="superscript"/>
        </w:rPr>
        <w:t>​</w:t>
      </w:r>
      <w:r>
        <w:rPr>
          <w:rFonts w:ascii="Arial" w:cs="Arial" w:eastAsia="Arial" w:hAnsi="Arial"/>
          <w:sz w:val="22"/>
          <w:szCs w:val="22"/>
          <w:b w:val="1"/>
          <w:bCs w:val="1"/>
          <w:color w:val="auto"/>
        </w:rPr>
        <w:t xml:space="preserve"> compensation of our named executive officers for 2025, as described in the executive compensation tables and the accompanying narrative disclosure set forth in this proxy statement.</w:t>
      </w:r>
    </w:p>
    <w:p>
      <w:pPr>
        <w:sectPr>
          <w:pgSz w:w="11900" w:h="16838" w:orient="portrait"/>
          <w:cols w:equalWidth="0" w:num="1">
            <w:col w:w="10060"/>
          </w:cols>
          <w:pgMar w:left="580" w:top="9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40" w:hanging="332"/>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386080</wp:posOffset>
            </wp:positionV>
            <wp:extent cx="102870" cy="5829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58293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386080</wp:posOffset>
            </wp:positionV>
            <wp:extent cx="102235" cy="5829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2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463"/>
        </w:trPr>
        <w:tc>
          <w:tcPr>
            <w:tcW w:w="120" w:type="dxa"/>
            <w:vAlign w:val="bottom"/>
          </w:tcPr>
          <w:p>
            <w:pPr>
              <w:spacing w:after="0"/>
              <w:rPr>
                <w:sz w:val="20"/>
                <w:szCs w:val="20"/>
                <w:color w:val="auto"/>
              </w:rPr>
            </w:pPr>
            <w:r>
              <w:rPr>
                <w:rFonts w:ascii="Arial" w:cs="Arial" w:eastAsia="Arial" w:hAnsi="Arial"/>
                <w:sz w:val="32"/>
                <w:szCs w:val="32"/>
                <w:b w:val="1"/>
                <w:bCs w:val="1"/>
                <w:color w:val="FFFFFF"/>
              </w:rPr>
              <w:t>​</w:t>
            </w:r>
          </w:p>
        </w:tc>
        <w:tc>
          <w:tcPr>
            <w:tcW w:w="9060" w:type="dxa"/>
            <w:vAlign w:val="bottom"/>
            <w:shd w:val="clear" w:color="auto" w:fill="395796"/>
          </w:tcPr>
          <w:p>
            <w:pPr>
              <w:spacing w:after="0"/>
              <w:rPr>
                <w:sz w:val="20"/>
                <w:szCs w:val="20"/>
                <w:color w:val="auto"/>
              </w:rPr>
            </w:pPr>
            <w:r>
              <w:rPr>
                <w:rFonts w:ascii="Arial" w:cs="Arial" w:eastAsia="Arial" w:hAnsi="Arial"/>
                <w:sz w:val="32"/>
                <w:szCs w:val="32"/>
                <w:b w:val="1"/>
                <w:bCs w:val="1"/>
                <w:color w:val="FFFFFF"/>
              </w:rPr>
              <w:t>PROPOSAL 3 – RATIFICATION OF APPOINTMENT OF</w:t>
            </w:r>
          </w:p>
        </w:tc>
        <w:tc>
          <w:tcPr>
            <w:tcW w:w="80" w:type="dxa"/>
            <w:vAlign w:val="bottom"/>
          </w:tcPr>
          <w:p>
            <w:pPr>
              <w:spacing w:after="0"/>
              <w:rPr>
                <w:sz w:val="20"/>
                <w:szCs w:val="20"/>
                <w:color w:val="auto"/>
              </w:rPr>
            </w:pPr>
            <w:r>
              <w:rPr>
                <w:rFonts w:ascii="Arial" w:cs="Arial" w:eastAsia="Arial" w:hAnsi="Arial"/>
                <w:sz w:val="32"/>
                <w:szCs w:val="32"/>
                <w:b w:val="1"/>
                <w:bCs w:val="1"/>
                <w:color w:val="FFFFFF"/>
              </w:rPr>
              <w:t>​</w:t>
            </w:r>
          </w:p>
        </w:tc>
      </w:tr>
      <w:tr>
        <w:trPr>
          <w:trHeight w:val="415"/>
        </w:trPr>
        <w:tc>
          <w:tcPr>
            <w:tcW w:w="120" w:type="dxa"/>
            <w:vAlign w:val="bottom"/>
          </w:tcPr>
          <w:p>
            <w:pPr>
              <w:spacing w:after="0"/>
              <w:rPr>
                <w:sz w:val="24"/>
                <w:szCs w:val="24"/>
                <w:color w:val="auto"/>
              </w:rPr>
            </w:pPr>
          </w:p>
        </w:tc>
        <w:tc>
          <w:tcPr>
            <w:tcW w:w="9060" w:type="dxa"/>
            <w:vAlign w:val="bottom"/>
            <w:shd w:val="clear" w:color="auto" w:fill="395796"/>
          </w:tcPr>
          <w:p>
            <w:pPr>
              <w:spacing w:after="0"/>
              <w:rPr>
                <w:sz w:val="20"/>
                <w:szCs w:val="20"/>
                <w:color w:val="auto"/>
              </w:rPr>
            </w:pPr>
            <w:r>
              <w:rPr>
                <w:rFonts w:ascii="Arial" w:cs="Arial" w:eastAsia="Arial" w:hAnsi="Arial"/>
                <w:sz w:val="32"/>
                <w:szCs w:val="32"/>
                <w:b w:val="1"/>
                <w:bCs w:val="1"/>
                <w:color w:val="FFFFFF"/>
              </w:rPr>
              <w:t>INDEPENDENT REGISTERED PUBLIC ACCOUNTING FIRM</w:t>
            </w:r>
            <w:r>
              <w:rPr>
                <w:rFonts w:ascii="Arial" w:cs="Arial" w:eastAsia="Arial" w:hAnsi="Arial"/>
                <w:sz w:val="17"/>
                <w:szCs w:val="17"/>
                <w:color w:val="FFFFFF"/>
              </w:rPr>
              <w:t>​</w:t>
            </w:r>
          </w:p>
        </w:tc>
        <w:tc>
          <w:tcPr>
            <w:tcW w:w="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127" w:lineRule="exact"/>
        <w:rPr>
          <w:sz w:val="20"/>
          <w:szCs w:val="20"/>
          <w:color w:val="auto"/>
        </w:rPr>
      </w:pPr>
    </w:p>
    <w:p>
      <w:pPr>
        <w:jc w:val="both"/>
        <w:ind w:left="700"/>
        <w:spacing w:after="0" w:line="268" w:lineRule="auto"/>
        <w:rPr>
          <w:sz w:val="20"/>
          <w:szCs w:val="20"/>
          <w:color w:val="auto"/>
        </w:rPr>
      </w:pPr>
      <w:r>
        <w:rPr>
          <w:rFonts w:ascii="Arial" w:cs="Arial" w:eastAsia="Arial" w:hAnsi="Arial"/>
          <w:sz w:val="20"/>
          <w:szCs w:val="20"/>
          <w:b w:val="1"/>
          <w:bCs w:val="1"/>
          <w:color w:val="auto"/>
        </w:rPr>
        <w:t>Proposal 3 concerns the ratification of the appointment of Grant Thornton LLP as our independent registered public accounting firm for the year ending December 31, 2026.</w:t>
      </w:r>
    </w:p>
    <w:p>
      <w:pPr>
        <w:spacing w:after="0" w:line="44"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In accordance with its charter, the audit committee has selected the firm of Grant Thornton LLP, a registered public accounting firm, to be our independent auditor for the year ending December 31, 2026, and, with the endorsement of the board of directors, recommends that stockholders ratify such appointment.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Grant Thornton LLP has served in this capacity since June 6, 2014. We expect that representatives of Grant Thornton LLP will participate in the annual meeting. They will have an opportunity to make a statement if they wish to do so and, if present, will be available to respond to appropriate questions.</w:t>
      </w:r>
    </w:p>
    <w:p>
      <w:pPr>
        <w:spacing w:after="0" w:line="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majority of the votes properly cast at the annual meeting will be necessary to ratify the selection by the audit committee of our board of directors of Grant Thornton LLP as our independent registered public accounting firm 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-3026410</wp:posOffset>
            </wp:positionH>
            <wp:positionV relativeFrom="paragraph">
              <wp:posOffset>158750</wp:posOffset>
            </wp:positionV>
            <wp:extent cx="5948680" cy="676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48680" cy="676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200"/>
            <w:col w:w="4560"/>
          </w:cols>
          <w:pgMar w:left="580" w:top="97" w:right="1299" w:bottom="1440" w:gutter="0" w:footer="0" w:header="0"/>
          <w:type w:val="continuous"/>
        </w:sectPr>
      </w:pPr>
    </w:p>
    <w:p>
      <w:pPr>
        <w:spacing w:after="0" w:line="62" w:lineRule="exact"/>
        <w:rPr>
          <w:sz w:val="20"/>
          <w:szCs w:val="20"/>
          <w:color w:val="auto"/>
        </w:rPr>
      </w:pPr>
    </w:p>
    <w:p>
      <w:pPr>
        <w:jc w:val="both"/>
        <w:ind w:left="840" w:right="40" w:hanging="107"/>
        <w:spacing w:after="0" w:line="183" w:lineRule="auto"/>
        <w:rPr>
          <w:sz w:val="20"/>
          <w:szCs w:val="20"/>
          <w:color w:val="auto"/>
        </w:rPr>
      </w:pPr>
      <w:r>
        <w:rPr>
          <w:rFonts w:ascii="Arial" w:cs="Arial" w:eastAsia="Arial" w:hAnsi="Arial"/>
          <w:sz w:val="41"/>
          <w:szCs w:val="41"/>
          <w:b w:val="1"/>
          <w:bCs w:val="1"/>
          <w:color w:val="auto"/>
          <w:vertAlign w:val="superscript"/>
        </w:rPr>
        <w:t>​</w:t>
      </w:r>
      <w:r>
        <w:rPr>
          <w:rFonts w:ascii="Arial" w:cs="Arial" w:eastAsia="Arial" w:hAnsi="Arial"/>
          <w:sz w:val="21"/>
          <w:szCs w:val="21"/>
          <w:b w:val="1"/>
          <w:bCs w:val="1"/>
          <w:color w:val="auto"/>
        </w:rPr>
        <w:t xml:space="preserve"> Our board of directors unanimously recommends that you vote </w:t>
      </w:r>
      <w:r>
        <w:rPr>
          <w:rFonts w:ascii="Arial" w:cs="Arial" w:eastAsia="Arial" w:hAnsi="Arial"/>
          <w:sz w:val="21"/>
          <w:szCs w:val="21"/>
          <w:b w:val="1"/>
          <w:bCs w:val="1"/>
          <w:color w:val="395796"/>
        </w:rPr>
        <w:t>FOR</w:t>
      </w:r>
      <w:r>
        <w:rPr>
          <w:rFonts w:ascii="Arial" w:cs="Arial" w:eastAsia="Arial" w:hAnsi="Arial"/>
          <w:sz w:val="21"/>
          <w:szCs w:val="21"/>
          <w:b w:val="1"/>
          <w:bCs w:val="1"/>
          <w:color w:val="auto"/>
        </w:rPr>
        <w:t xml:space="preserve"> the proposed ratification</w:t>
      </w:r>
      <w:r>
        <w:rPr>
          <w:rFonts w:ascii="Arial" w:cs="Arial" w:eastAsia="Arial" w:hAnsi="Arial"/>
          <w:sz w:val="41"/>
          <w:szCs w:val="41"/>
          <w:b w:val="1"/>
          <w:bCs w:val="1"/>
          <w:color w:val="auto"/>
          <w:vertAlign w:val="superscript"/>
        </w:rPr>
        <w:t>​</w:t>
      </w:r>
      <w:r>
        <w:rPr>
          <w:rFonts w:ascii="Arial" w:cs="Arial" w:eastAsia="Arial" w:hAnsi="Arial"/>
          <w:sz w:val="21"/>
          <w:szCs w:val="21"/>
          <w:b w:val="1"/>
          <w:bCs w:val="1"/>
          <w:color w:val="auto"/>
        </w:rPr>
        <w:t xml:space="preserve"> of the appointment by our Audit Committee of Grant Thornton LLP as our independent registered public accounting firm for the year ending December 31, 2026.</w:t>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280"/>
        <w:spacing w:after="0"/>
        <w:rPr>
          <w:sz w:val="20"/>
          <w:szCs w:val="20"/>
          <w:color w:val="auto"/>
        </w:rPr>
      </w:pPr>
      <w:r>
        <w:rPr>
          <w:rFonts w:ascii="Arial" w:cs="Arial" w:eastAsia="Arial" w:hAnsi="Arial"/>
          <w:sz w:val="17"/>
          <w:szCs w:val="17"/>
          <w:color w:val="395796"/>
        </w:rPr>
        <w:t xml:space="preserve">KVH Industries, Inc. 2026 Proxy Statement  </w:t>
      </w:r>
      <w:r>
        <w:rPr>
          <w:rFonts w:ascii="Arial" w:cs="Arial" w:eastAsia="Arial" w:hAnsi="Arial"/>
          <w:sz w:val="17"/>
          <w:szCs w:val="17"/>
          <w:color w:val="000000"/>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386080</wp:posOffset>
            </wp:positionV>
            <wp:extent cx="102870"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386080</wp:posOffset>
            </wp:positionV>
            <wp:extent cx="102235" cy="3257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235" cy="325755"/>
                    </a:xfrm>
                    <a:prstGeom prst="rect">
                      <a:avLst/>
                    </a:prstGeom>
                    <a:noFill/>
                  </pic:spPr>
                </pic:pic>
              </a:graphicData>
            </a:graphic>
          </wp:anchor>
        </w:drawing>
      </w:r>
    </w:p>
    <w:p>
      <w:pPr>
        <w:spacing w:after="0" w:line="311" w:lineRule="exact"/>
        <w:rPr>
          <w:sz w:val="20"/>
          <w:szCs w:val="20"/>
          <w:color w:val="auto"/>
        </w:rPr>
      </w:pPr>
    </w:p>
    <w:tbl>
      <w:tblPr>
        <w:tblLayout w:type="fixed"/>
        <w:tblInd w:w="700" w:type="dxa"/>
        <w:tblCellMar>
          <w:top w:w="0" w:type="dxa"/>
          <w:left w:w="0" w:type="dxa"/>
          <w:bottom w:w="0" w:type="dxa"/>
          <w:right w:w="0" w:type="dxa"/>
        </w:tblCellMar>
      </w:tblPr>
      <w:tr>
        <w:trPr>
          <w:trHeight w:val="368"/>
        </w:trPr>
        <w:tc>
          <w:tcPr>
            <w:tcW w:w="120" w:type="dxa"/>
            <w:vAlign w:val="bottom"/>
          </w:tcPr>
          <w:p>
            <w:pPr>
              <w:spacing w:after="0"/>
              <w:rPr>
                <w:sz w:val="20"/>
                <w:szCs w:val="20"/>
                <w:color w:val="auto"/>
              </w:rPr>
            </w:pPr>
            <w:r>
              <w:rPr>
                <w:rFonts w:ascii="Arial" w:cs="Arial" w:eastAsia="Arial" w:hAnsi="Arial"/>
                <w:sz w:val="32"/>
                <w:szCs w:val="32"/>
                <w:b w:val="1"/>
                <w:bCs w:val="1"/>
                <w:color w:val="FFFFFF"/>
              </w:rPr>
              <w:t>​</w:t>
            </w:r>
          </w:p>
        </w:tc>
        <w:tc>
          <w:tcPr>
            <w:tcW w:w="9060" w:type="dxa"/>
            <w:vAlign w:val="bottom"/>
            <w:shd w:val="clear" w:color="auto" w:fill="395796"/>
          </w:tcPr>
          <w:p>
            <w:pPr>
              <w:ind w:left="6220"/>
              <w:spacing w:after="0"/>
              <w:rPr>
                <w:sz w:val="20"/>
                <w:szCs w:val="20"/>
                <w:color w:val="auto"/>
              </w:rPr>
            </w:pPr>
            <w:r>
              <w:rPr>
                <w:rFonts w:ascii="Arial" w:cs="Arial" w:eastAsia="Arial" w:hAnsi="Arial"/>
                <w:sz w:val="18"/>
                <w:szCs w:val="18"/>
                <w:color w:val="FFFFFF"/>
              </w:rPr>
              <w:t>​</w:t>
            </w:r>
          </w:p>
        </w:tc>
        <w:tc>
          <w:tcPr>
            <w:tcW w:w="80" w:type="dxa"/>
            <w:vAlign w:val="bottom"/>
          </w:tcPr>
          <w:p>
            <w:pPr>
              <w:spacing w:after="0"/>
              <w:rPr>
                <w:sz w:val="20"/>
                <w:szCs w:val="20"/>
                <w:color w:val="auto"/>
              </w:rPr>
            </w:pPr>
            <w:r>
              <w:rPr>
                <w:rFonts w:ascii="Arial" w:cs="Arial" w:eastAsia="Arial" w:hAnsi="Arial"/>
                <w:sz w:val="32"/>
                <w:szCs w:val="32"/>
                <w:b w:val="1"/>
                <w:bCs w:val="1"/>
                <w:color w:val="FFFFFF"/>
              </w:rPr>
              <w:t>​</w:t>
            </w:r>
          </w:p>
        </w:tc>
      </w:tr>
      <w:tr>
        <w:trPr>
          <w:trHeight w:val="401"/>
        </w:trPr>
        <w:tc>
          <w:tcPr>
            <w:tcW w:w="120" w:type="dxa"/>
            <w:vAlign w:val="bottom"/>
          </w:tcPr>
          <w:p>
            <w:pPr>
              <w:spacing w:after="0"/>
              <w:rPr>
                <w:sz w:val="24"/>
                <w:szCs w:val="24"/>
                <w:color w:val="auto"/>
              </w:rPr>
            </w:pPr>
          </w:p>
        </w:tc>
        <w:tc>
          <w:tcPr>
            <w:tcW w:w="9060" w:type="dxa"/>
            <w:vAlign w:val="bottom"/>
            <w:shd w:val="clear" w:color="auto" w:fill="395796"/>
          </w:tcPr>
          <w:p>
            <w:pPr>
              <w:spacing w:after="0"/>
              <w:rPr>
                <w:sz w:val="20"/>
                <w:szCs w:val="20"/>
                <w:color w:val="auto"/>
              </w:rPr>
            </w:pPr>
            <w:r>
              <w:rPr>
                <w:rFonts w:ascii="Arial" w:cs="Arial" w:eastAsia="Arial" w:hAnsi="Arial"/>
                <w:sz w:val="32"/>
                <w:szCs w:val="32"/>
                <w:b w:val="1"/>
                <w:bCs w:val="1"/>
                <w:color w:val="FFFFFF"/>
              </w:rPr>
              <w:t>DIRECTORS AND EXECUTIVE OFFICERS</w:t>
            </w:r>
          </w:p>
        </w:tc>
        <w:tc>
          <w:tcPr>
            <w:tcW w:w="80" w:type="dxa"/>
            <w:vAlign w:val="bottom"/>
          </w:tcPr>
          <w:p>
            <w:pPr>
              <w:spacing w:after="0"/>
              <w:rPr>
                <w:sz w:val="24"/>
                <w:szCs w:val="24"/>
                <w:color w:val="auto"/>
              </w:rPr>
            </w:pPr>
          </w:p>
        </w:tc>
      </w:tr>
    </w:tbl>
    <w:p>
      <w:pPr>
        <w:spacing w:after="0" w:line="2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executive officers are appointed by, and serve at the discretion of, our board of directors.</w:t>
      </w:r>
    </w:p>
    <w:p>
      <w:pPr>
        <w:spacing w:after="0" w:line="117" w:lineRule="exact"/>
        <w:rPr>
          <w:sz w:val="20"/>
          <w:szCs w:val="20"/>
          <w:color w:val="auto"/>
        </w:rPr>
      </w:pPr>
    </w:p>
    <w:p>
      <w:pPr>
        <w:jc w:val="both"/>
        <w:ind w:left="700"/>
        <w:spacing w:after="0" w:line="262" w:lineRule="auto"/>
        <w:rPr>
          <w:sz w:val="20"/>
          <w:szCs w:val="20"/>
          <w:color w:val="auto"/>
        </w:rPr>
      </w:pPr>
      <w:r>
        <w:rPr>
          <w:rFonts w:ascii="Arial" w:cs="Arial" w:eastAsia="Arial" w:hAnsi="Arial"/>
          <w:sz w:val="18"/>
          <w:szCs w:val="18"/>
          <w:color w:val="auto"/>
        </w:rPr>
        <w:t>Information regarding David M. Tolley and Stephen H. Deckoff, our Class III directors being nominated for re-election at the annual meeting, is presented above under the heading “Proposal 1 – Election of Directors.” The terms of each of David M. Tolley and Stephen H. Deckoff, our current Class III directors, will expire at the annual meeting. Our other directors and executive officers are as follows:</w:t>
      </w:r>
    </w:p>
    <w:p>
      <w:pPr>
        <w:spacing w:after="0" w:line="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serving a term expiring at the 2027 annual meeting (Class I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137795</wp:posOffset>
            </wp:positionV>
            <wp:extent cx="5906135" cy="1851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06135" cy="1851660"/>
                    </a:xfrm>
                    <a:prstGeom prst="rect">
                      <a:avLst/>
                    </a:prstGeom>
                    <a:noFill/>
                  </pic:spPr>
                </pic:pic>
              </a:graphicData>
            </a:graphic>
          </wp:anchor>
        </w:drawing>
      </w:r>
    </w:p>
    <w:p>
      <w:pPr>
        <w:spacing w:after="0" w:line="286"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395796"/>
        </w:rPr>
        <w:t>David B. Kagan</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Age: 64</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Director</w:t>
      </w:r>
    </w:p>
    <w:p>
      <w:pPr>
        <w:spacing w:after="0" w:line="119" w:lineRule="exact"/>
        <w:rPr>
          <w:sz w:val="20"/>
          <w:szCs w:val="20"/>
          <w:color w:val="auto"/>
        </w:rPr>
      </w:pPr>
    </w:p>
    <w:p>
      <w:pPr>
        <w:ind w:left="2860"/>
        <w:spacing w:after="0"/>
        <w:rPr>
          <w:sz w:val="20"/>
          <w:szCs w:val="20"/>
          <w:color w:val="auto"/>
        </w:rPr>
      </w:pPr>
      <w:r>
        <w:rPr>
          <w:rFonts w:ascii="Arial" w:cs="Arial" w:eastAsia="Arial" w:hAnsi="Arial"/>
          <w:sz w:val="18"/>
          <w:szCs w:val="18"/>
          <w:b w:val="1"/>
          <w:bCs w:val="1"/>
          <w:i w:val="1"/>
          <w:iCs w:val="1"/>
          <w:color w:val="auto"/>
        </w:rPr>
        <w:t>Committee Memberships:</w:t>
      </w:r>
    </w:p>
    <w:p>
      <w:pPr>
        <w:spacing w:after="0" w:line="115" w:lineRule="exact"/>
        <w:rPr>
          <w:sz w:val="20"/>
          <w:szCs w:val="20"/>
          <w:color w:val="auto"/>
        </w:rPr>
      </w:pPr>
    </w:p>
    <w:p>
      <w:pPr>
        <w:ind w:left="3160" w:hanging="292"/>
        <w:spacing w:after="0"/>
        <w:tabs>
          <w:tab w:leader="none" w:pos="3160" w:val="left"/>
        </w:tabs>
        <w:numPr>
          <w:ilvl w:val="0"/>
          <w:numId w:val="15"/>
        </w:numPr>
        <w:rPr>
          <w:rFonts w:ascii="MS PGothic" w:cs="MS PGothic" w:eastAsia="MS PGothic" w:hAnsi="MS PGothic"/>
          <w:sz w:val="18"/>
          <w:szCs w:val="18"/>
          <w:color w:val="395796"/>
        </w:rPr>
      </w:pPr>
      <w:r>
        <w:rPr>
          <w:rFonts w:ascii="Arial" w:cs="Arial" w:eastAsia="Arial" w:hAnsi="Arial"/>
          <w:sz w:val="18"/>
          <w:szCs w:val="18"/>
          <w:color w:val="auto"/>
        </w:rPr>
        <w:t>Audit Committee Chair</w:t>
      </w:r>
    </w:p>
    <w:p>
      <w:pPr>
        <w:spacing w:after="0" w:line="117" w:lineRule="exact"/>
        <w:rPr>
          <w:rFonts w:ascii="MS PGothic" w:cs="MS PGothic" w:eastAsia="MS PGothic" w:hAnsi="MS PGothic"/>
          <w:sz w:val="18"/>
          <w:szCs w:val="18"/>
          <w:color w:val="395796"/>
        </w:rPr>
      </w:pPr>
    </w:p>
    <w:p>
      <w:pPr>
        <w:ind w:left="3160" w:hanging="292"/>
        <w:spacing w:after="0"/>
        <w:tabs>
          <w:tab w:leader="none" w:pos="3160" w:val="left"/>
        </w:tabs>
        <w:numPr>
          <w:ilvl w:val="0"/>
          <w:numId w:val="15"/>
        </w:numPr>
        <w:rPr>
          <w:rFonts w:ascii="MS PGothic" w:cs="MS PGothic" w:eastAsia="MS PGothic" w:hAnsi="MS PGothic"/>
          <w:sz w:val="18"/>
          <w:szCs w:val="18"/>
          <w:color w:val="395796"/>
        </w:rPr>
      </w:pPr>
      <w:r>
        <w:rPr>
          <w:rFonts w:ascii="Arial" w:cs="Arial" w:eastAsia="Arial" w:hAnsi="Arial"/>
          <w:sz w:val="18"/>
          <w:szCs w:val="18"/>
          <w:color w:val="auto"/>
        </w:rPr>
        <w:t>Compensation Committee Member</w:t>
      </w:r>
    </w:p>
    <w:p>
      <w:pPr>
        <w:spacing w:after="0" w:line="117" w:lineRule="exact"/>
        <w:rPr>
          <w:rFonts w:ascii="MS PGothic" w:cs="MS PGothic" w:eastAsia="MS PGothic" w:hAnsi="MS PGothic"/>
          <w:sz w:val="18"/>
          <w:szCs w:val="18"/>
          <w:color w:val="395796"/>
        </w:rPr>
      </w:pPr>
    </w:p>
    <w:p>
      <w:pPr>
        <w:ind w:left="3160" w:hanging="292"/>
        <w:spacing w:after="0"/>
        <w:tabs>
          <w:tab w:leader="none" w:pos="3160" w:val="left"/>
        </w:tabs>
        <w:numPr>
          <w:ilvl w:val="0"/>
          <w:numId w:val="15"/>
        </w:numPr>
        <w:rPr>
          <w:rFonts w:ascii="MS PGothic" w:cs="MS PGothic" w:eastAsia="MS PGothic" w:hAnsi="MS PGothic"/>
          <w:sz w:val="18"/>
          <w:szCs w:val="18"/>
          <w:color w:val="395796"/>
        </w:rPr>
      </w:pPr>
      <w:r>
        <w:rPr>
          <w:rFonts w:ascii="Arial" w:cs="Arial" w:eastAsia="Arial" w:hAnsi="Arial"/>
          <w:sz w:val="18"/>
          <w:szCs w:val="18"/>
          <w:color w:val="auto"/>
        </w:rPr>
        <w:t>Nominating and Corporate Governance Committee Member</w:t>
      </w:r>
    </w:p>
    <w:p>
      <w:pPr>
        <w:spacing w:after="0" w:line="117" w:lineRule="exact"/>
        <w:rPr>
          <w:sz w:val="20"/>
          <w:szCs w:val="20"/>
          <w:color w:val="auto"/>
        </w:rPr>
      </w:pPr>
    </w:p>
    <w:p>
      <w:pPr>
        <w:jc w:val="both"/>
        <w:ind w:left="2860"/>
        <w:spacing w:after="0" w:line="257" w:lineRule="auto"/>
        <w:rPr>
          <w:sz w:val="20"/>
          <w:szCs w:val="20"/>
          <w:color w:val="auto"/>
        </w:rPr>
      </w:pPr>
      <w:r>
        <w:rPr>
          <w:rFonts w:ascii="Arial" w:cs="Arial" w:eastAsia="Arial" w:hAnsi="Arial"/>
          <w:sz w:val="18"/>
          <w:szCs w:val="18"/>
          <w:color w:val="auto"/>
        </w:rPr>
        <w:t>Mr. Kagan has served as one of our directors since June 2022. In August 2022, Mr. Kagan became a member of the audit committee. In July 2024, he became the chairman of the audit committee, a member of the compensation committee, and a member of the</w:t>
      </w:r>
    </w:p>
    <w:p>
      <w:pPr>
        <w:spacing w:after="0" w:line="1" w:lineRule="exact"/>
        <w:rPr>
          <w:sz w:val="20"/>
          <w:szCs w:val="20"/>
          <w:color w:val="auto"/>
        </w:rPr>
      </w:pPr>
    </w:p>
    <w:p>
      <w:pPr>
        <w:jc w:val="both"/>
        <w:ind w:left="700"/>
        <w:spacing w:after="0" w:line="251" w:lineRule="auto"/>
        <w:rPr>
          <w:sz w:val="20"/>
          <w:szCs w:val="20"/>
          <w:color w:val="auto"/>
        </w:rPr>
      </w:pPr>
      <w:r>
        <w:rPr>
          <w:rFonts w:ascii="Arial" w:cs="Arial" w:eastAsia="Arial" w:hAnsi="Arial"/>
          <w:sz w:val="18"/>
          <w:szCs w:val="18"/>
          <w:color w:val="auto"/>
        </w:rPr>
        <w:t>nominating and corporate governance committee. From September 2023 to December 2023, he served as the advisor to the CEO of Globalstar, Inc. Prior to that, Mr. Kagan served as chief executive officer of Globalstar, Inc. (NYSE: GSAT), a leading provider of satellite solutions, from September 2018 until August 2023. He also served as president and chief operating officer of Globalstar from December 2017 to September 2018 and from January 2016 to March 2017. From March 2017 to November 2017, he was the chief operating officer of SpeedCast International Limited, a leading communications and information technology services provider. Mr. Kagan previously served as president of ITC Global LLC, a premier VSAT satellite services provider, from August 2014 to September 2015, and president and chief executive officer of Globe Wireless LLC, a maritime satellite services provider, from June 2011 until it was sold to Inmarsat in August 2014. Prior to that, he served as president and chief executive officer of Maritime Telecommunications Network, a major satellite services provider to the cruise, yachting, and maritime markets, from January 1997 to December 2008. Earlier in his career, he was vice president-finance, treasurer and co-chief financial officer at Norwegian Cruise Line (NYSE: NCLH) from 1994 to 1997. Mr. Kagan holds a master’s degree of Business Administration from Florida Atlantic University and a bachelor’s degree in both Finance and Marketing from the University of South Florida, Tampa. In March 2023, after a more than 26-year career in the satellite industry, Mr. Kagan was inducted into the Satellite Hall of Fame. Mr. Kagan retired from Globalstar in December 2023. Our nominating and corporate governance committee determined that Mr. Kagan should serve as a director because of his extensive satellite industry expertise.</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40" w:hanging="332"/>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17"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395796"/>
        </w:rPr>
        <w:t>DIRECTORS AND EXECUTIVE OFFICERS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Directors serving a term expiring at the 2028 annual meeting (Class II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206375</wp:posOffset>
            </wp:positionV>
            <wp:extent cx="5906135" cy="18516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06135" cy="1851660"/>
                    </a:xfrm>
                    <a:prstGeom prst="rect">
                      <a:avLst/>
                    </a:prstGeom>
                    <a:noFill/>
                  </pic:spPr>
                </pic:pic>
              </a:graphicData>
            </a:graphic>
          </wp:anchor>
        </w:drawing>
      </w:r>
    </w:p>
    <w:p>
      <w:pPr>
        <w:spacing w:after="0" w:line="38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395796"/>
        </w:rPr>
        <w:t>Brent C. Bruun</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Age: 60</w:t>
      </w:r>
    </w:p>
    <w:p>
      <w:pPr>
        <w:spacing w:after="0" w:line="7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Director, President and Chief Executive Officer</w:t>
      </w:r>
    </w:p>
    <w:p>
      <w:pPr>
        <w:spacing w:after="0" w:line="90" w:lineRule="exact"/>
        <w:rPr>
          <w:sz w:val="20"/>
          <w:szCs w:val="20"/>
          <w:color w:val="auto"/>
        </w:rPr>
      </w:pPr>
    </w:p>
    <w:p>
      <w:pPr>
        <w:jc w:val="both"/>
        <w:ind w:left="2860"/>
        <w:spacing w:after="0" w:line="252" w:lineRule="auto"/>
        <w:rPr>
          <w:sz w:val="20"/>
          <w:szCs w:val="20"/>
          <w:color w:val="auto"/>
        </w:rPr>
      </w:pPr>
      <w:r>
        <w:rPr>
          <w:rFonts w:ascii="Arial" w:cs="Arial" w:eastAsia="Arial" w:hAnsi="Arial"/>
          <w:sz w:val="18"/>
          <w:szCs w:val="18"/>
          <w:color w:val="auto"/>
        </w:rPr>
        <w:t>Brent C. Bruun has served as our president and chief executive officer since June 2022, having previously served as our interim president and chief executive officer from March 2022 to June 2022. He served as our chief operating officer with direct responsibility for our corporate development and mobile communication products and services for marine and land markets from July 2016 to March 2022 and direct responsibility for inertial navigation products from November 2018 to March 2022. From November 2012 to June 2016, Mr. Bruun served as our executive vice president of mobile broadband. From January 2011 to November 2012, he served as our senior vice president of global sales and business development. He served as our vice president of global sales and business development from July 2008 to December 2010. From January 2008 until joining KVH,</w:t>
      </w:r>
    </w:p>
    <w:p>
      <w:pPr>
        <w:spacing w:after="0" w:line="5" w:lineRule="exact"/>
        <w:rPr>
          <w:sz w:val="20"/>
          <w:szCs w:val="20"/>
          <w:color w:val="auto"/>
        </w:rPr>
      </w:pPr>
    </w:p>
    <w:p>
      <w:pPr>
        <w:jc w:val="both"/>
        <w:ind w:left="700"/>
        <w:spacing w:after="0" w:line="252" w:lineRule="auto"/>
        <w:rPr>
          <w:sz w:val="20"/>
          <w:szCs w:val="20"/>
          <w:color w:val="auto"/>
        </w:rPr>
      </w:pPr>
      <w:r>
        <w:rPr>
          <w:rFonts w:ascii="Arial" w:cs="Arial" w:eastAsia="Arial" w:hAnsi="Arial"/>
          <w:sz w:val="18"/>
          <w:szCs w:val="18"/>
          <w:color w:val="auto"/>
        </w:rPr>
        <w:t>Mr. Bruun worked as a private consultant. From January 2007 until January 2008, Mr. Bruun served as senior vice president of strategic initiatives for SES AMERICOM, a satellite operator providing services via its fleet of 16 geosynchronous satellites covering North America. In this position, he concentrated on global mobile broadband opportunities with particular emphasis on the maritime and aeronautical markets. Other positions held at SES AMERICOM included president of Americom’s Managed Solutions Division from July 2004 until December 2006 and senior vice president of business development from July 2002 until June 2004. Previously, Mr. Bruun held positions at KPMG LLP and General Electric. Mr. Bruun holds a B.S. in accounting from Alfred University and is a certified public accountant. Our nominating and corporate governance committee determined that Mr. Bruun should serve as a director because of his extensive satellite industry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181610</wp:posOffset>
            </wp:positionV>
            <wp:extent cx="5906135" cy="18516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06135" cy="1851660"/>
                    </a:xfrm>
                    <a:prstGeom prst="rect">
                      <a:avLst/>
                    </a:prstGeom>
                    <a:noFill/>
                  </pic:spPr>
                </pic:pic>
              </a:graphicData>
            </a:graphic>
          </wp:anchor>
        </w:drawing>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395796"/>
        </w:rPr>
        <w:t>Joseph Spytek</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Age: 56</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Director</w:t>
      </w:r>
    </w:p>
    <w:p>
      <w:pPr>
        <w:spacing w:after="0" w:line="119" w:lineRule="exact"/>
        <w:rPr>
          <w:sz w:val="20"/>
          <w:szCs w:val="20"/>
          <w:color w:val="auto"/>
        </w:rPr>
      </w:pPr>
    </w:p>
    <w:p>
      <w:pPr>
        <w:ind w:left="2860"/>
        <w:spacing w:after="0"/>
        <w:rPr>
          <w:sz w:val="20"/>
          <w:szCs w:val="20"/>
          <w:color w:val="auto"/>
        </w:rPr>
      </w:pPr>
      <w:r>
        <w:rPr>
          <w:rFonts w:ascii="Arial" w:cs="Arial" w:eastAsia="Arial" w:hAnsi="Arial"/>
          <w:sz w:val="18"/>
          <w:szCs w:val="18"/>
          <w:b w:val="1"/>
          <w:bCs w:val="1"/>
          <w:i w:val="1"/>
          <w:iCs w:val="1"/>
          <w:color w:val="auto"/>
        </w:rPr>
        <w:t>Committee Memberships:</w:t>
      </w:r>
    </w:p>
    <w:p>
      <w:pPr>
        <w:spacing w:after="0" w:line="115" w:lineRule="exact"/>
        <w:rPr>
          <w:sz w:val="20"/>
          <w:szCs w:val="20"/>
          <w:color w:val="auto"/>
        </w:rPr>
      </w:pPr>
    </w:p>
    <w:p>
      <w:pPr>
        <w:ind w:left="3160" w:hanging="292"/>
        <w:spacing w:after="0"/>
        <w:tabs>
          <w:tab w:leader="none" w:pos="3160" w:val="left"/>
        </w:tabs>
        <w:numPr>
          <w:ilvl w:val="0"/>
          <w:numId w:val="17"/>
        </w:numPr>
        <w:rPr>
          <w:rFonts w:ascii="MS PGothic" w:cs="MS PGothic" w:eastAsia="MS PGothic" w:hAnsi="MS PGothic"/>
          <w:sz w:val="18"/>
          <w:szCs w:val="18"/>
          <w:color w:val="395796"/>
        </w:rPr>
      </w:pPr>
      <w:r>
        <w:rPr>
          <w:rFonts w:ascii="Arial" w:cs="Arial" w:eastAsia="Arial" w:hAnsi="Arial"/>
          <w:sz w:val="18"/>
          <w:szCs w:val="18"/>
          <w:color w:val="auto"/>
        </w:rPr>
        <w:t>Nominating and Corporate Governance Committee Chair</w:t>
      </w:r>
    </w:p>
    <w:p>
      <w:pPr>
        <w:spacing w:after="0" w:line="117" w:lineRule="exact"/>
        <w:rPr>
          <w:rFonts w:ascii="MS PGothic" w:cs="MS PGothic" w:eastAsia="MS PGothic" w:hAnsi="MS PGothic"/>
          <w:sz w:val="18"/>
          <w:szCs w:val="18"/>
          <w:color w:val="395796"/>
        </w:rPr>
      </w:pPr>
    </w:p>
    <w:p>
      <w:pPr>
        <w:ind w:left="3160" w:hanging="292"/>
        <w:spacing w:after="0"/>
        <w:tabs>
          <w:tab w:leader="none" w:pos="3160" w:val="left"/>
        </w:tabs>
        <w:numPr>
          <w:ilvl w:val="0"/>
          <w:numId w:val="17"/>
        </w:numPr>
        <w:rPr>
          <w:rFonts w:ascii="MS PGothic" w:cs="MS PGothic" w:eastAsia="MS PGothic" w:hAnsi="MS PGothic"/>
          <w:sz w:val="18"/>
          <w:szCs w:val="18"/>
          <w:color w:val="395796"/>
        </w:rPr>
      </w:pPr>
      <w:r>
        <w:rPr>
          <w:rFonts w:ascii="Arial" w:cs="Arial" w:eastAsia="Arial" w:hAnsi="Arial"/>
          <w:sz w:val="18"/>
          <w:szCs w:val="18"/>
          <w:color w:val="auto"/>
        </w:rPr>
        <w:t>Compensation Committee Member</w:t>
      </w:r>
    </w:p>
    <w:p>
      <w:pPr>
        <w:spacing w:after="0" w:line="117" w:lineRule="exact"/>
        <w:rPr>
          <w:rFonts w:ascii="MS PGothic" w:cs="MS PGothic" w:eastAsia="MS PGothic" w:hAnsi="MS PGothic"/>
          <w:sz w:val="18"/>
          <w:szCs w:val="18"/>
          <w:color w:val="395796"/>
        </w:rPr>
      </w:pPr>
    </w:p>
    <w:p>
      <w:pPr>
        <w:ind w:left="3160" w:hanging="292"/>
        <w:spacing w:after="0"/>
        <w:tabs>
          <w:tab w:leader="none" w:pos="3160" w:val="left"/>
        </w:tabs>
        <w:numPr>
          <w:ilvl w:val="0"/>
          <w:numId w:val="17"/>
        </w:numPr>
        <w:rPr>
          <w:rFonts w:ascii="MS PGothic" w:cs="MS PGothic" w:eastAsia="MS PGothic" w:hAnsi="MS PGothic"/>
          <w:sz w:val="18"/>
          <w:szCs w:val="18"/>
          <w:color w:val="395796"/>
        </w:rPr>
      </w:pPr>
      <w:r>
        <w:rPr>
          <w:rFonts w:ascii="Arial" w:cs="Arial" w:eastAsia="Arial" w:hAnsi="Arial"/>
          <w:sz w:val="18"/>
          <w:szCs w:val="18"/>
          <w:color w:val="auto"/>
        </w:rPr>
        <w:t>Audit Committee Member</w:t>
      </w:r>
    </w:p>
    <w:p>
      <w:pPr>
        <w:spacing w:after="0" w:line="117" w:lineRule="exact"/>
        <w:rPr>
          <w:sz w:val="20"/>
          <w:szCs w:val="20"/>
          <w:color w:val="auto"/>
        </w:rPr>
      </w:pPr>
    </w:p>
    <w:p>
      <w:pPr>
        <w:jc w:val="both"/>
        <w:ind w:left="2860"/>
        <w:spacing w:after="0" w:line="257" w:lineRule="auto"/>
        <w:rPr>
          <w:sz w:val="20"/>
          <w:szCs w:val="20"/>
          <w:color w:val="auto"/>
        </w:rPr>
      </w:pPr>
      <w:r>
        <w:rPr>
          <w:rFonts w:ascii="Arial" w:cs="Arial" w:eastAsia="Arial" w:hAnsi="Arial"/>
          <w:sz w:val="18"/>
          <w:szCs w:val="18"/>
          <w:color w:val="auto"/>
        </w:rPr>
        <w:t>Joseph Spytek has served as one of our directors since June 2025. In August 2025, he became the chairman of the nominating and corporate governance committee, a member of the audit committee, and a member of the compensation committee. Mr. Spytek joined</w:t>
      </w:r>
    </w:p>
    <w:p>
      <w:pPr>
        <w:spacing w:after="0" w:line="1" w:lineRule="exact"/>
        <w:rPr>
          <w:sz w:val="20"/>
          <w:szCs w:val="20"/>
          <w:color w:val="auto"/>
        </w:rPr>
      </w:pPr>
    </w:p>
    <w:p>
      <w:pPr>
        <w:jc w:val="both"/>
        <w:ind w:left="700"/>
        <w:spacing w:after="0" w:line="251" w:lineRule="auto"/>
        <w:rPr>
          <w:sz w:val="20"/>
          <w:szCs w:val="20"/>
          <w:color w:val="auto"/>
        </w:rPr>
      </w:pPr>
      <w:r>
        <w:rPr>
          <w:rFonts w:ascii="Arial" w:cs="Arial" w:eastAsia="Arial" w:hAnsi="Arial"/>
          <w:sz w:val="18"/>
          <w:szCs w:val="18"/>
          <w:color w:val="auto"/>
        </w:rPr>
        <w:t>the board of directors of Speedcast Communications, Inc., a global communications company, in October 2019 and served as its co-chief executive officer from February 2020 to January 2021, when he became the sole chief executive officer. He served in that position until December 2023. In April 2020, Speedcast filed a voluntary case under Chapter 11 of the United States Bankruptcy Code, which concluded in March 2021. From July 2017 to September 2019, Mr. Spytek provided technical advisory services regarding new business opportunities for the private equity firms Genesis Park and Riverside Partners. Mr. Spytek founded ITC Global, Inc., a provider of satellite communications to the energy, mining, and maritime markets, in 2001 and served as its founder and chief executive officer from its inception until June 2017. ITC Global, Inc. was acquired by Panasonic Corporation in August 2015 and became an independent unit of Panasonic Aviation. Mr. Spytek also served as a director of Speedcast Communications, Inc. from October 2019 to February 2020. Mr. Spytek holds a Bachelor of Engineering in Mechanical Engineering from Vanderbilt University. Our nominating and corporate governance committee determined that Mr. Spytek should serve as a director because it believes that his deep operational, financial, transactional and industry experience will enable him to provide valuable perspective to the board of directors and assist the board of directors to navigate ongoing changes in the communications industry.</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280"/>
        <w:spacing w:after="0"/>
        <w:rPr>
          <w:sz w:val="20"/>
          <w:szCs w:val="20"/>
          <w:color w:val="auto"/>
        </w:rPr>
      </w:pPr>
      <w:r>
        <w:rPr>
          <w:rFonts w:ascii="Arial" w:cs="Arial" w:eastAsia="Arial" w:hAnsi="Arial"/>
          <w:sz w:val="17"/>
          <w:szCs w:val="17"/>
          <w:color w:val="395796"/>
        </w:rPr>
        <w:t xml:space="preserve">KVH Industries, Inc. 2026 Proxy Statement  </w:t>
      </w:r>
      <w:r>
        <w:rPr>
          <w:rFonts w:ascii="Arial" w:cs="Arial" w:eastAsia="Arial" w:hAnsi="Arial"/>
          <w:sz w:val="17"/>
          <w:szCs w:val="17"/>
          <w:color w:val="000000"/>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395796"/>
        </w:rPr>
        <w:t>DIRECTORS AND EXECUTIVE OFFICERS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executive officers who are not also directors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206375</wp:posOffset>
            </wp:positionV>
            <wp:extent cx="5906135" cy="1688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06135" cy="1688465"/>
                    </a:xfrm>
                    <a:prstGeom prst="rect">
                      <a:avLst/>
                    </a:prstGeom>
                    <a:noFill/>
                  </pic:spPr>
                </pic:pic>
              </a:graphicData>
            </a:graphic>
          </wp:anchor>
        </w:drawing>
      </w:r>
    </w:p>
    <w:p>
      <w:pPr>
        <w:spacing w:after="0" w:line="394"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395796"/>
        </w:rPr>
        <w:t>Anthony Pike</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Age: 40</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117" w:lineRule="exact"/>
        <w:rPr>
          <w:sz w:val="20"/>
          <w:szCs w:val="20"/>
          <w:color w:val="auto"/>
        </w:rPr>
      </w:pPr>
    </w:p>
    <w:p>
      <w:pPr>
        <w:jc w:val="both"/>
        <w:ind w:left="2860"/>
        <w:spacing w:after="0" w:line="267" w:lineRule="auto"/>
        <w:rPr>
          <w:sz w:val="20"/>
          <w:szCs w:val="20"/>
          <w:color w:val="auto"/>
        </w:rPr>
      </w:pPr>
      <w:r>
        <w:rPr>
          <w:rFonts w:ascii="Arial" w:cs="Arial" w:eastAsia="Arial" w:hAnsi="Arial"/>
          <w:sz w:val="17"/>
          <w:szCs w:val="17"/>
          <w:color w:val="auto"/>
        </w:rPr>
        <w:t>Mr. Anthony Pike has served as our chief financial officer since April 2024, having previously served as our vice president finance and corporate controller, responsible for the overall financial reporting function of KVH Industries, Inc., from January 2023 to April 2024. Before that, he served as our vice president, finance &amp; operations EMEA/APAC starting in March 2021. In this role, Mr. Pike was responsible for all financial aspects of our subsidiaries outside the United States of America, as well as the operations of KVH’s Media Group businesses. Mr. Pike served as our senior director of finance from September 2019 to March 2021, our finance director, KVH Media Group &amp; Videotel from July 2016 to September 2019 and our financial controller, KVH Media Group &amp; Videotel from</w:t>
      </w:r>
    </w:p>
    <w:p>
      <w:pPr>
        <w:spacing w:after="0" w:line="5"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August 2014 to September 2019. Before joining KVH, Mr. Pike was the General Ledger Regional Lead – Northern Europe, for Univar Solutions LLC, a leading chemical distribution company, from April 2010 to August 2014. Mr. Pike also previously worked as an audit senior at the accounting firm Garbutt &amp; Elliott LLP, from 2004 to 2010. Mr. Pike received his ACA qualification from the Institute of Chartered Accountants in England &amp; Wales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170815</wp:posOffset>
            </wp:positionV>
            <wp:extent cx="5906135" cy="18516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06135" cy="1851660"/>
                    </a:xfrm>
                    <a:prstGeom prst="rect">
                      <a:avLst/>
                    </a:prstGeom>
                    <a:noFill/>
                  </pic:spPr>
                </pic:pic>
              </a:graphicData>
            </a:graphic>
          </wp:anchor>
        </w:drawing>
      </w:r>
    </w:p>
    <w:p>
      <w:pPr>
        <w:spacing w:after="0" w:line="33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395796"/>
        </w:rPr>
        <w:t>Felise B. Feingold</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Age: 56</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Senior Vice President, General Counsel, Compliance Officer, Chief Data Privacy Officer,</w:t>
      </w:r>
    </w:p>
    <w:p>
      <w:pPr>
        <w:spacing w:after="0" w:line="39"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and Secretary</w:t>
      </w:r>
    </w:p>
    <w:p>
      <w:pPr>
        <w:spacing w:after="0" w:line="99" w:lineRule="exact"/>
        <w:rPr>
          <w:sz w:val="20"/>
          <w:szCs w:val="20"/>
          <w:color w:val="auto"/>
        </w:rPr>
      </w:pPr>
    </w:p>
    <w:p>
      <w:pPr>
        <w:jc w:val="both"/>
        <w:ind w:left="2860"/>
        <w:spacing w:after="0" w:line="253" w:lineRule="auto"/>
        <w:rPr>
          <w:sz w:val="20"/>
          <w:szCs w:val="20"/>
          <w:color w:val="auto"/>
        </w:rPr>
      </w:pPr>
      <w:r>
        <w:rPr>
          <w:rFonts w:ascii="Arial" w:cs="Arial" w:eastAsia="Arial" w:hAnsi="Arial"/>
          <w:sz w:val="18"/>
          <w:szCs w:val="18"/>
          <w:color w:val="auto"/>
        </w:rPr>
        <w:t>Felise B. Feingold has served as our senior vice president since June 2019, vice president, general counsel and secretary since August 2007, our compliance officer since December 2017 and our chief data privacy officer since August 2018. Before joining us, from January 2004 until July 2007, she held the position of vice president and general counsel for The Jean Coutu Group (PJC) USA, Inc., which operated the Brooks/Eckerd pharmacy chain, comprising more than 1,800 stores. Her other experience includes six years, from September 1998 to December 2004, as an attorney with the international law firm of McDermott, Will &amp; Emery. Ms. Feingold holds a B.A. in government from Cornell</w:t>
      </w:r>
    </w:p>
    <w:p>
      <w:pPr>
        <w:ind w:left="700" w:right="20"/>
        <w:spacing w:after="0" w:line="266" w:lineRule="auto"/>
        <w:rPr>
          <w:sz w:val="20"/>
          <w:szCs w:val="20"/>
          <w:color w:val="auto"/>
        </w:rPr>
      </w:pPr>
      <w:r>
        <w:rPr>
          <w:rFonts w:ascii="Arial" w:cs="Arial" w:eastAsia="Arial" w:hAnsi="Arial"/>
          <w:sz w:val="18"/>
          <w:szCs w:val="18"/>
          <w:color w:val="auto"/>
        </w:rPr>
        <w:t>University, a J.D. from Hofstra University School of Law, and an M.B.A. from Boston University Graduate School of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40" w:hanging="33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386080</wp:posOffset>
            </wp:positionV>
            <wp:extent cx="102870" cy="5829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58293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386080</wp:posOffset>
            </wp:positionV>
            <wp:extent cx="102235" cy="5829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2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463"/>
        </w:trPr>
        <w:tc>
          <w:tcPr>
            <w:tcW w:w="120" w:type="dxa"/>
            <w:vAlign w:val="bottom"/>
          </w:tcPr>
          <w:p>
            <w:pPr>
              <w:spacing w:after="0"/>
              <w:rPr>
                <w:sz w:val="20"/>
                <w:szCs w:val="20"/>
                <w:color w:val="auto"/>
              </w:rPr>
            </w:pPr>
            <w:r>
              <w:rPr>
                <w:rFonts w:ascii="Arial" w:cs="Arial" w:eastAsia="Arial" w:hAnsi="Arial"/>
                <w:sz w:val="32"/>
                <w:szCs w:val="32"/>
                <w:b w:val="1"/>
                <w:bCs w:val="1"/>
                <w:color w:val="FFFFFF"/>
              </w:rPr>
              <w:t>​</w:t>
            </w:r>
          </w:p>
        </w:tc>
        <w:tc>
          <w:tcPr>
            <w:tcW w:w="9060" w:type="dxa"/>
            <w:vAlign w:val="bottom"/>
            <w:shd w:val="clear" w:color="auto" w:fill="395796"/>
          </w:tcPr>
          <w:p>
            <w:pPr>
              <w:spacing w:after="0"/>
              <w:rPr>
                <w:sz w:val="20"/>
                <w:szCs w:val="20"/>
                <w:color w:val="auto"/>
              </w:rPr>
            </w:pPr>
            <w:r>
              <w:rPr>
                <w:rFonts w:ascii="Arial" w:cs="Arial" w:eastAsia="Arial" w:hAnsi="Arial"/>
                <w:sz w:val="32"/>
                <w:szCs w:val="32"/>
                <w:b w:val="1"/>
                <w:bCs w:val="1"/>
                <w:color w:val="FFFFFF"/>
              </w:rPr>
              <w:t>COMPENSATION OF DIRECTORS AND EXECUTIVE</w:t>
            </w:r>
          </w:p>
        </w:tc>
        <w:tc>
          <w:tcPr>
            <w:tcW w:w="80" w:type="dxa"/>
            <w:vAlign w:val="bottom"/>
          </w:tcPr>
          <w:p>
            <w:pPr>
              <w:spacing w:after="0"/>
              <w:rPr>
                <w:sz w:val="20"/>
                <w:szCs w:val="20"/>
                <w:color w:val="auto"/>
              </w:rPr>
            </w:pPr>
            <w:r>
              <w:rPr>
                <w:rFonts w:ascii="Arial" w:cs="Arial" w:eastAsia="Arial" w:hAnsi="Arial"/>
                <w:sz w:val="32"/>
                <w:szCs w:val="32"/>
                <w:b w:val="1"/>
                <w:bCs w:val="1"/>
                <w:color w:val="FFFFFF"/>
              </w:rPr>
              <w:t>​</w:t>
            </w:r>
          </w:p>
        </w:tc>
      </w:tr>
      <w:tr>
        <w:trPr>
          <w:trHeight w:val="415"/>
        </w:trPr>
        <w:tc>
          <w:tcPr>
            <w:tcW w:w="120" w:type="dxa"/>
            <w:vAlign w:val="bottom"/>
          </w:tcPr>
          <w:p>
            <w:pPr>
              <w:spacing w:after="0"/>
              <w:rPr>
                <w:sz w:val="24"/>
                <w:szCs w:val="24"/>
                <w:color w:val="auto"/>
              </w:rPr>
            </w:pPr>
          </w:p>
        </w:tc>
        <w:tc>
          <w:tcPr>
            <w:tcW w:w="9060" w:type="dxa"/>
            <w:vAlign w:val="bottom"/>
            <w:shd w:val="clear" w:color="auto" w:fill="395796"/>
          </w:tcPr>
          <w:p>
            <w:pPr>
              <w:spacing w:after="0"/>
              <w:rPr>
                <w:sz w:val="20"/>
                <w:szCs w:val="20"/>
                <w:color w:val="auto"/>
              </w:rPr>
            </w:pPr>
            <w:r>
              <w:rPr>
                <w:rFonts w:ascii="Arial" w:cs="Arial" w:eastAsia="Arial" w:hAnsi="Arial"/>
                <w:sz w:val="32"/>
                <w:szCs w:val="32"/>
                <w:b w:val="1"/>
                <w:bCs w:val="1"/>
                <w:color w:val="FFFFFF"/>
              </w:rPr>
              <w:t>OFFICERS</w:t>
            </w:r>
            <w:r>
              <w:rPr>
                <w:rFonts w:ascii="Arial" w:cs="Arial" w:eastAsia="Arial" w:hAnsi="Arial"/>
                <w:sz w:val="17"/>
                <w:szCs w:val="17"/>
                <w:color w:val="FFFFFF"/>
              </w:rPr>
              <w:t>​</w:t>
            </w:r>
          </w:p>
        </w:tc>
        <w:tc>
          <w:tcPr>
            <w:tcW w:w="80" w:type="dxa"/>
            <w:vAlign w:val="bottom"/>
          </w:tcPr>
          <w:p>
            <w:pPr>
              <w:spacing w:after="0"/>
              <w:rPr>
                <w:sz w:val="24"/>
                <w:szCs w:val="24"/>
                <w:color w:val="auto"/>
              </w:rPr>
            </w:pPr>
          </w:p>
        </w:tc>
      </w:tr>
    </w:tbl>
    <w:p>
      <w:pPr>
        <w:spacing w:after="0" w:line="303"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395796"/>
        </w:rPr>
        <w:t>EXECUTIVE COMPENSATION</w:t>
      </w:r>
    </w:p>
    <w:p>
      <w:pPr>
        <w:spacing w:after="0" w:line="114" w:lineRule="exact"/>
        <w:rPr>
          <w:sz w:val="20"/>
          <w:szCs w:val="20"/>
          <w:color w:val="auto"/>
        </w:rPr>
      </w:pPr>
    </w:p>
    <w:p>
      <w:pPr>
        <w:jc w:val="both"/>
        <w:ind w:left="700" w:right="20"/>
        <w:spacing w:after="0" w:line="255" w:lineRule="auto"/>
        <w:rPr>
          <w:sz w:val="20"/>
          <w:szCs w:val="20"/>
          <w:color w:val="auto"/>
        </w:rPr>
      </w:pPr>
      <w:r>
        <w:rPr>
          <w:rFonts w:ascii="Arial" w:cs="Arial" w:eastAsia="Arial" w:hAnsi="Arial"/>
          <w:sz w:val="18"/>
          <w:szCs w:val="18"/>
          <w:color w:val="auto"/>
        </w:rPr>
        <w:t>Our executive compensation program provides a mix of fixed and variable pay to balance rewards for achieving short-term operational performance goals with creating long-term stockholder value and encouraging executive retention. Our 2025 executive compensation program provided for (a) fixed compensation in the form of salaries designed to provide a competitive baseline of compensation, (b) short-term variable compensation in the form of a cash-based incentive compensation program designed to reward achievement of our financial and business goals for 2025, and (c) long-term variable compensation in the form of equity awards designed to reward our executives primarily through increases in the price of our common stock. For more information regarding the compensation of our named executive officers for 2025, see “Proposal 2 – Non-Binding Say on Pay Vote”.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395796"/>
        </w:rPr>
        <w:t>Summary Compensation Table For 2025</w:t>
      </w:r>
    </w:p>
    <w:p>
      <w:pPr>
        <w:spacing w:after="0" w:line="114" w:lineRule="exact"/>
        <w:rPr>
          <w:sz w:val="20"/>
          <w:szCs w:val="20"/>
          <w:color w:val="auto"/>
        </w:rPr>
      </w:pPr>
    </w:p>
    <w:p>
      <w:pPr>
        <w:jc w:val="both"/>
        <w:ind w:left="700" w:right="20"/>
        <w:spacing w:after="0" w:line="268" w:lineRule="auto"/>
        <w:rPr>
          <w:sz w:val="20"/>
          <w:szCs w:val="20"/>
          <w:color w:val="auto"/>
        </w:rPr>
      </w:pPr>
      <w:r>
        <w:rPr>
          <w:rFonts w:ascii="Arial" w:cs="Arial" w:eastAsia="Arial" w:hAnsi="Arial"/>
          <w:sz w:val="18"/>
          <w:szCs w:val="18"/>
          <w:color w:val="auto"/>
        </w:rPr>
        <w:t>The following table provides information concerning the compensation earned by our chief executive officer and each of our two most highly compensated executive officers other than the chief executive officer (collectively with the chief executive officer, our “named executive officers”) during 2025.</w:t>
      </w:r>
    </w:p>
    <w:p>
      <w:pPr>
        <w:spacing w:after="0" w:line="63" w:lineRule="exact"/>
        <w:rPr>
          <w:sz w:val="20"/>
          <w:szCs w:val="20"/>
          <w:color w:val="auto"/>
        </w:rPr>
      </w:pPr>
    </w:p>
    <w:p>
      <w:pPr>
        <w:jc w:val="both"/>
        <w:ind w:left="700" w:right="20"/>
        <w:spacing w:after="0" w:line="287" w:lineRule="auto"/>
        <w:rPr>
          <w:sz w:val="20"/>
          <w:szCs w:val="20"/>
          <w:color w:val="auto"/>
        </w:rPr>
      </w:pPr>
      <w:r>
        <w:rPr>
          <w:rFonts w:ascii="Arial" w:cs="Arial" w:eastAsia="Arial" w:hAnsi="Arial"/>
          <w:sz w:val="18"/>
          <w:szCs w:val="18"/>
          <w:color w:val="auto"/>
        </w:rPr>
        <w:t>In 2025, the salary and bonus (including the non-equity incentive plan compensation) of our named executive officers as a percentage of total compensation ranged from 70% to 78%.</w:t>
      </w:r>
    </w:p>
    <w:p>
      <w:pPr>
        <w:spacing w:after="0" w:line="91" w:lineRule="exact"/>
        <w:rPr>
          <w:sz w:val="20"/>
          <w:szCs w:val="20"/>
          <w:color w:val="auto"/>
        </w:rPr>
      </w:pPr>
    </w:p>
    <w:tbl>
      <w:tblPr>
        <w:tblLayout w:type="fixed"/>
        <w:tblInd w:w="700" w:type="dxa"/>
        <w:tblCellMar>
          <w:top w:w="0" w:type="dxa"/>
          <w:left w:w="0" w:type="dxa"/>
          <w:bottom w:w="0" w:type="dxa"/>
          <w:right w:w="0" w:type="dxa"/>
        </w:tblCellMar>
      </w:tblPr>
      <w:tr>
        <w:trPr>
          <w:trHeight w:val="180"/>
        </w:trPr>
        <w:tc>
          <w:tcPr>
            <w:tcW w:w="900" w:type="dxa"/>
            <w:vAlign w:val="bottom"/>
            <w:shd w:val="clear" w:color="auto" w:fill="395796"/>
          </w:tcPr>
          <w:p>
            <w:pPr>
              <w:spacing w:after="0"/>
              <w:rPr>
                <w:sz w:val="15"/>
                <w:szCs w:val="15"/>
                <w:color w:val="auto"/>
              </w:rPr>
            </w:pPr>
          </w:p>
        </w:tc>
        <w:tc>
          <w:tcPr>
            <w:tcW w:w="1720" w:type="dxa"/>
            <w:vAlign w:val="bottom"/>
            <w:shd w:val="clear" w:color="auto" w:fill="395796"/>
          </w:tcPr>
          <w:p>
            <w:pPr>
              <w:spacing w:after="0"/>
              <w:rPr>
                <w:sz w:val="15"/>
                <w:szCs w:val="15"/>
                <w:color w:val="auto"/>
              </w:rPr>
            </w:pPr>
          </w:p>
        </w:tc>
        <w:tc>
          <w:tcPr>
            <w:tcW w:w="80" w:type="dxa"/>
            <w:vAlign w:val="bottom"/>
            <w:shd w:val="clear" w:color="auto" w:fill="395796"/>
          </w:tcPr>
          <w:p>
            <w:pPr>
              <w:spacing w:after="0"/>
              <w:rPr>
                <w:sz w:val="15"/>
                <w:szCs w:val="15"/>
                <w:color w:val="auto"/>
              </w:rPr>
            </w:pPr>
          </w:p>
        </w:tc>
        <w:tc>
          <w:tcPr>
            <w:tcW w:w="380" w:type="dxa"/>
            <w:vAlign w:val="bottom"/>
            <w:shd w:val="clear" w:color="auto" w:fill="395796"/>
          </w:tcPr>
          <w:p>
            <w:pPr>
              <w:spacing w:after="0"/>
              <w:rPr>
                <w:sz w:val="15"/>
                <w:szCs w:val="15"/>
                <w:color w:val="auto"/>
              </w:rPr>
            </w:pPr>
          </w:p>
        </w:tc>
        <w:tc>
          <w:tcPr>
            <w:tcW w:w="200" w:type="dxa"/>
            <w:vAlign w:val="bottom"/>
            <w:shd w:val="clear" w:color="auto" w:fill="395796"/>
          </w:tcPr>
          <w:p>
            <w:pPr>
              <w:spacing w:after="0"/>
              <w:rPr>
                <w:sz w:val="15"/>
                <w:szCs w:val="15"/>
                <w:color w:val="auto"/>
              </w:rPr>
            </w:pPr>
          </w:p>
        </w:tc>
        <w:tc>
          <w:tcPr>
            <w:tcW w:w="520" w:type="dxa"/>
            <w:vAlign w:val="bottom"/>
            <w:shd w:val="clear" w:color="auto" w:fill="395796"/>
          </w:tcPr>
          <w:p>
            <w:pPr>
              <w:spacing w:after="0"/>
              <w:rPr>
                <w:sz w:val="15"/>
                <w:szCs w:val="15"/>
                <w:color w:val="auto"/>
              </w:rPr>
            </w:pPr>
          </w:p>
        </w:tc>
        <w:tc>
          <w:tcPr>
            <w:tcW w:w="120" w:type="dxa"/>
            <w:vAlign w:val="bottom"/>
            <w:shd w:val="clear" w:color="auto" w:fill="395796"/>
          </w:tcPr>
          <w:p>
            <w:pPr>
              <w:spacing w:after="0"/>
              <w:rPr>
                <w:sz w:val="15"/>
                <w:szCs w:val="15"/>
                <w:color w:val="auto"/>
              </w:rPr>
            </w:pPr>
          </w:p>
        </w:tc>
        <w:tc>
          <w:tcPr>
            <w:tcW w:w="80" w:type="dxa"/>
            <w:vAlign w:val="bottom"/>
            <w:shd w:val="clear" w:color="auto" w:fill="395796"/>
          </w:tcPr>
          <w:p>
            <w:pPr>
              <w:spacing w:after="0"/>
              <w:rPr>
                <w:sz w:val="15"/>
                <w:szCs w:val="15"/>
                <w:color w:val="auto"/>
              </w:rPr>
            </w:pPr>
          </w:p>
        </w:tc>
        <w:tc>
          <w:tcPr>
            <w:tcW w:w="520" w:type="dxa"/>
            <w:vAlign w:val="bottom"/>
            <w:shd w:val="clear" w:color="auto" w:fill="395796"/>
          </w:tcPr>
          <w:p>
            <w:pPr>
              <w:spacing w:after="0"/>
              <w:rPr>
                <w:sz w:val="15"/>
                <w:szCs w:val="15"/>
                <w:color w:val="auto"/>
              </w:rPr>
            </w:pPr>
          </w:p>
        </w:tc>
        <w:tc>
          <w:tcPr>
            <w:tcW w:w="140" w:type="dxa"/>
            <w:vAlign w:val="bottom"/>
            <w:shd w:val="clear" w:color="auto" w:fill="395796"/>
          </w:tcPr>
          <w:p>
            <w:pPr>
              <w:spacing w:after="0"/>
              <w:rPr>
                <w:sz w:val="15"/>
                <w:szCs w:val="15"/>
                <w:color w:val="auto"/>
              </w:rPr>
            </w:pPr>
          </w:p>
        </w:tc>
        <w:tc>
          <w:tcPr>
            <w:tcW w:w="100" w:type="dxa"/>
            <w:vAlign w:val="bottom"/>
            <w:shd w:val="clear" w:color="auto" w:fill="395796"/>
          </w:tcPr>
          <w:p>
            <w:pPr>
              <w:spacing w:after="0"/>
              <w:rPr>
                <w:sz w:val="15"/>
                <w:szCs w:val="15"/>
                <w:color w:val="auto"/>
              </w:rPr>
            </w:pPr>
          </w:p>
        </w:tc>
        <w:tc>
          <w:tcPr>
            <w:tcW w:w="520" w:type="dxa"/>
            <w:vAlign w:val="bottom"/>
            <w:shd w:val="clear" w:color="auto" w:fill="395796"/>
          </w:tcPr>
          <w:p>
            <w:pPr>
              <w:spacing w:after="0"/>
              <w:rPr>
                <w:sz w:val="15"/>
                <w:szCs w:val="15"/>
                <w:color w:val="auto"/>
              </w:rPr>
            </w:pPr>
          </w:p>
        </w:tc>
        <w:tc>
          <w:tcPr>
            <w:tcW w:w="140" w:type="dxa"/>
            <w:vAlign w:val="bottom"/>
            <w:shd w:val="clear" w:color="auto" w:fill="395796"/>
          </w:tcPr>
          <w:p>
            <w:pPr>
              <w:spacing w:after="0"/>
              <w:rPr>
                <w:sz w:val="15"/>
                <w:szCs w:val="15"/>
                <w:color w:val="auto"/>
              </w:rPr>
            </w:pPr>
          </w:p>
        </w:tc>
        <w:tc>
          <w:tcPr>
            <w:tcW w:w="80" w:type="dxa"/>
            <w:vAlign w:val="bottom"/>
            <w:shd w:val="clear" w:color="auto" w:fill="395796"/>
          </w:tcPr>
          <w:p>
            <w:pPr>
              <w:spacing w:after="0"/>
              <w:rPr>
                <w:sz w:val="15"/>
                <w:szCs w:val="15"/>
                <w:color w:val="auto"/>
              </w:rPr>
            </w:pPr>
          </w:p>
        </w:tc>
        <w:tc>
          <w:tcPr>
            <w:tcW w:w="540" w:type="dxa"/>
            <w:vAlign w:val="bottom"/>
            <w:shd w:val="clear" w:color="auto" w:fill="395796"/>
          </w:tcPr>
          <w:p>
            <w:pPr>
              <w:spacing w:after="0"/>
              <w:rPr>
                <w:sz w:val="15"/>
                <w:szCs w:val="15"/>
                <w:color w:val="auto"/>
              </w:rPr>
            </w:pPr>
          </w:p>
        </w:tc>
        <w:tc>
          <w:tcPr>
            <w:tcW w:w="140" w:type="dxa"/>
            <w:vAlign w:val="bottom"/>
            <w:shd w:val="clear" w:color="auto" w:fill="395796"/>
          </w:tcPr>
          <w:p>
            <w:pPr>
              <w:spacing w:after="0"/>
              <w:rPr>
                <w:sz w:val="15"/>
                <w:szCs w:val="15"/>
                <w:color w:val="auto"/>
              </w:rPr>
            </w:pPr>
          </w:p>
        </w:tc>
        <w:tc>
          <w:tcPr>
            <w:tcW w:w="60" w:type="dxa"/>
            <w:vAlign w:val="bottom"/>
            <w:shd w:val="clear" w:color="auto" w:fill="395796"/>
          </w:tcPr>
          <w:p>
            <w:pPr>
              <w:spacing w:after="0"/>
              <w:rPr>
                <w:sz w:val="15"/>
                <w:szCs w:val="15"/>
                <w:color w:val="auto"/>
              </w:rPr>
            </w:pPr>
          </w:p>
        </w:tc>
        <w:tc>
          <w:tcPr>
            <w:tcW w:w="1000" w:type="dxa"/>
            <w:vAlign w:val="bottom"/>
            <w:shd w:val="clear" w:color="auto" w:fill="395796"/>
          </w:tcPr>
          <w:p>
            <w:pPr>
              <w:jc w:val="right"/>
              <w:ind w:right="9"/>
              <w:spacing w:after="0"/>
              <w:rPr>
                <w:sz w:val="20"/>
                <w:szCs w:val="20"/>
                <w:color w:val="auto"/>
              </w:rPr>
            </w:pPr>
            <w:r>
              <w:rPr>
                <w:rFonts w:ascii="Arial" w:cs="Arial" w:eastAsia="Arial" w:hAnsi="Arial"/>
                <w:sz w:val="14"/>
                <w:szCs w:val="14"/>
                <w:b w:val="1"/>
                <w:bCs w:val="1"/>
                <w:color w:val="FFFFFF"/>
              </w:rPr>
              <w:t>Non-Equity</w:t>
            </w:r>
          </w:p>
        </w:tc>
        <w:tc>
          <w:tcPr>
            <w:tcW w:w="140" w:type="dxa"/>
            <w:vAlign w:val="bottom"/>
            <w:shd w:val="clear" w:color="auto" w:fill="395796"/>
          </w:tcPr>
          <w:p>
            <w:pPr>
              <w:spacing w:after="0"/>
              <w:rPr>
                <w:sz w:val="15"/>
                <w:szCs w:val="15"/>
                <w:color w:val="auto"/>
              </w:rPr>
            </w:pPr>
          </w:p>
        </w:tc>
        <w:tc>
          <w:tcPr>
            <w:tcW w:w="240" w:type="dxa"/>
            <w:vAlign w:val="bottom"/>
            <w:shd w:val="clear" w:color="auto" w:fill="395796"/>
          </w:tcPr>
          <w:p>
            <w:pPr>
              <w:spacing w:after="0"/>
              <w:rPr>
                <w:sz w:val="15"/>
                <w:szCs w:val="15"/>
                <w:color w:val="auto"/>
              </w:rPr>
            </w:pPr>
          </w:p>
        </w:tc>
        <w:tc>
          <w:tcPr>
            <w:tcW w:w="820" w:type="dxa"/>
            <w:vAlign w:val="bottom"/>
            <w:shd w:val="clear" w:color="auto" w:fill="395796"/>
          </w:tcPr>
          <w:p>
            <w:pPr>
              <w:spacing w:after="0"/>
              <w:rPr>
                <w:sz w:val="15"/>
                <w:szCs w:val="15"/>
                <w:color w:val="auto"/>
              </w:rPr>
            </w:pPr>
          </w:p>
        </w:tc>
        <w:tc>
          <w:tcPr>
            <w:tcW w:w="140" w:type="dxa"/>
            <w:vAlign w:val="bottom"/>
            <w:shd w:val="clear" w:color="auto" w:fill="395796"/>
          </w:tcPr>
          <w:p>
            <w:pPr>
              <w:spacing w:after="0"/>
              <w:rPr>
                <w:sz w:val="15"/>
                <w:szCs w:val="15"/>
                <w:color w:val="auto"/>
              </w:rPr>
            </w:pPr>
          </w:p>
        </w:tc>
        <w:tc>
          <w:tcPr>
            <w:tcW w:w="120" w:type="dxa"/>
            <w:vAlign w:val="bottom"/>
            <w:shd w:val="clear" w:color="auto" w:fill="395796"/>
          </w:tcPr>
          <w:p>
            <w:pPr>
              <w:spacing w:after="0"/>
              <w:rPr>
                <w:sz w:val="15"/>
                <w:szCs w:val="15"/>
                <w:color w:val="auto"/>
              </w:rPr>
            </w:pPr>
          </w:p>
        </w:tc>
        <w:tc>
          <w:tcPr>
            <w:tcW w:w="600" w:type="dxa"/>
            <w:vAlign w:val="bottom"/>
            <w:shd w:val="clear" w:color="auto" w:fill="395796"/>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00" w:type="dxa"/>
            <w:vAlign w:val="bottom"/>
            <w:shd w:val="clear" w:color="auto" w:fill="395796"/>
          </w:tcPr>
          <w:p>
            <w:pPr>
              <w:spacing w:after="0"/>
              <w:rPr>
                <w:sz w:val="14"/>
                <w:szCs w:val="14"/>
                <w:color w:val="auto"/>
              </w:rPr>
            </w:pPr>
          </w:p>
        </w:tc>
        <w:tc>
          <w:tcPr>
            <w:tcW w:w="1720" w:type="dxa"/>
            <w:vAlign w:val="bottom"/>
            <w:shd w:val="clear" w:color="auto" w:fill="395796"/>
          </w:tcPr>
          <w:p>
            <w:pPr>
              <w:spacing w:after="0"/>
              <w:rPr>
                <w:sz w:val="14"/>
                <w:szCs w:val="14"/>
                <w:color w:val="auto"/>
              </w:rPr>
            </w:pPr>
          </w:p>
        </w:tc>
        <w:tc>
          <w:tcPr>
            <w:tcW w:w="80" w:type="dxa"/>
            <w:vAlign w:val="bottom"/>
            <w:shd w:val="clear" w:color="auto" w:fill="395796"/>
          </w:tcPr>
          <w:p>
            <w:pPr>
              <w:spacing w:after="0"/>
              <w:rPr>
                <w:sz w:val="14"/>
                <w:szCs w:val="14"/>
                <w:color w:val="auto"/>
              </w:rPr>
            </w:pPr>
          </w:p>
        </w:tc>
        <w:tc>
          <w:tcPr>
            <w:tcW w:w="380" w:type="dxa"/>
            <w:vAlign w:val="bottom"/>
            <w:shd w:val="clear" w:color="auto" w:fill="395796"/>
          </w:tcPr>
          <w:p>
            <w:pPr>
              <w:spacing w:after="0"/>
              <w:rPr>
                <w:sz w:val="14"/>
                <w:szCs w:val="14"/>
                <w:color w:val="auto"/>
              </w:rPr>
            </w:pPr>
          </w:p>
        </w:tc>
        <w:tc>
          <w:tcPr>
            <w:tcW w:w="200" w:type="dxa"/>
            <w:vAlign w:val="bottom"/>
            <w:shd w:val="clear" w:color="auto" w:fill="395796"/>
          </w:tcPr>
          <w:p>
            <w:pPr>
              <w:spacing w:after="0"/>
              <w:rPr>
                <w:sz w:val="14"/>
                <w:szCs w:val="14"/>
                <w:color w:val="auto"/>
              </w:rPr>
            </w:pPr>
          </w:p>
        </w:tc>
        <w:tc>
          <w:tcPr>
            <w:tcW w:w="520" w:type="dxa"/>
            <w:vAlign w:val="bottom"/>
            <w:shd w:val="clear" w:color="auto" w:fill="395796"/>
          </w:tcPr>
          <w:p>
            <w:pPr>
              <w:spacing w:after="0"/>
              <w:rPr>
                <w:sz w:val="14"/>
                <w:szCs w:val="14"/>
                <w:color w:val="auto"/>
              </w:rPr>
            </w:pPr>
          </w:p>
        </w:tc>
        <w:tc>
          <w:tcPr>
            <w:tcW w:w="120" w:type="dxa"/>
            <w:vAlign w:val="bottom"/>
            <w:shd w:val="clear" w:color="auto" w:fill="395796"/>
          </w:tcPr>
          <w:p>
            <w:pPr>
              <w:spacing w:after="0"/>
              <w:rPr>
                <w:sz w:val="14"/>
                <w:szCs w:val="14"/>
                <w:color w:val="auto"/>
              </w:rPr>
            </w:pPr>
          </w:p>
        </w:tc>
        <w:tc>
          <w:tcPr>
            <w:tcW w:w="80" w:type="dxa"/>
            <w:vAlign w:val="bottom"/>
            <w:shd w:val="clear" w:color="auto" w:fill="395796"/>
          </w:tcPr>
          <w:p>
            <w:pPr>
              <w:spacing w:after="0"/>
              <w:rPr>
                <w:sz w:val="14"/>
                <w:szCs w:val="14"/>
                <w:color w:val="auto"/>
              </w:rPr>
            </w:pPr>
          </w:p>
        </w:tc>
        <w:tc>
          <w:tcPr>
            <w:tcW w:w="520" w:type="dxa"/>
            <w:vAlign w:val="bottom"/>
            <w:shd w:val="clear" w:color="auto" w:fill="395796"/>
          </w:tcPr>
          <w:p>
            <w:pPr>
              <w:spacing w:after="0"/>
              <w:rPr>
                <w:sz w:val="14"/>
                <w:szCs w:val="14"/>
                <w:color w:val="auto"/>
              </w:rPr>
            </w:pPr>
          </w:p>
        </w:tc>
        <w:tc>
          <w:tcPr>
            <w:tcW w:w="140" w:type="dxa"/>
            <w:vAlign w:val="bottom"/>
            <w:shd w:val="clear" w:color="auto" w:fill="395796"/>
          </w:tcPr>
          <w:p>
            <w:pPr>
              <w:spacing w:after="0"/>
              <w:rPr>
                <w:sz w:val="14"/>
                <w:szCs w:val="14"/>
                <w:color w:val="auto"/>
              </w:rPr>
            </w:pPr>
          </w:p>
        </w:tc>
        <w:tc>
          <w:tcPr>
            <w:tcW w:w="100" w:type="dxa"/>
            <w:vAlign w:val="bottom"/>
            <w:shd w:val="clear" w:color="auto" w:fill="395796"/>
          </w:tcPr>
          <w:p>
            <w:pPr>
              <w:spacing w:after="0"/>
              <w:rPr>
                <w:sz w:val="14"/>
                <w:szCs w:val="14"/>
                <w:color w:val="auto"/>
              </w:rPr>
            </w:pPr>
          </w:p>
        </w:tc>
        <w:tc>
          <w:tcPr>
            <w:tcW w:w="520" w:type="dxa"/>
            <w:vAlign w:val="bottom"/>
            <w:shd w:val="clear" w:color="auto" w:fill="395796"/>
          </w:tcPr>
          <w:p>
            <w:pPr>
              <w:jc w:val="right"/>
              <w:ind w:right="9"/>
              <w:spacing w:after="0"/>
              <w:rPr>
                <w:sz w:val="20"/>
                <w:szCs w:val="20"/>
                <w:color w:val="auto"/>
              </w:rPr>
            </w:pPr>
            <w:r>
              <w:rPr>
                <w:rFonts w:ascii="Arial" w:cs="Arial" w:eastAsia="Arial" w:hAnsi="Arial"/>
                <w:sz w:val="14"/>
                <w:szCs w:val="14"/>
                <w:b w:val="1"/>
                <w:bCs w:val="1"/>
                <w:color w:val="FFFFFF"/>
              </w:rPr>
              <w:t>Stock</w:t>
            </w:r>
          </w:p>
        </w:tc>
        <w:tc>
          <w:tcPr>
            <w:tcW w:w="140" w:type="dxa"/>
            <w:vAlign w:val="bottom"/>
            <w:shd w:val="clear" w:color="auto" w:fill="395796"/>
          </w:tcPr>
          <w:p>
            <w:pPr>
              <w:spacing w:after="0"/>
              <w:rPr>
                <w:sz w:val="14"/>
                <w:szCs w:val="14"/>
                <w:color w:val="auto"/>
              </w:rPr>
            </w:pPr>
          </w:p>
        </w:tc>
        <w:tc>
          <w:tcPr>
            <w:tcW w:w="80" w:type="dxa"/>
            <w:vAlign w:val="bottom"/>
            <w:shd w:val="clear" w:color="auto" w:fill="395796"/>
          </w:tcPr>
          <w:p>
            <w:pPr>
              <w:spacing w:after="0"/>
              <w:rPr>
                <w:sz w:val="14"/>
                <w:szCs w:val="14"/>
                <w:color w:val="auto"/>
              </w:rPr>
            </w:pPr>
          </w:p>
        </w:tc>
        <w:tc>
          <w:tcPr>
            <w:tcW w:w="540" w:type="dxa"/>
            <w:vAlign w:val="bottom"/>
            <w:shd w:val="clear" w:color="auto" w:fill="395796"/>
          </w:tcPr>
          <w:p>
            <w:pPr>
              <w:jc w:val="right"/>
              <w:ind w:right="9"/>
              <w:spacing w:after="0"/>
              <w:rPr>
                <w:sz w:val="20"/>
                <w:szCs w:val="20"/>
                <w:color w:val="auto"/>
              </w:rPr>
            </w:pPr>
            <w:r>
              <w:rPr>
                <w:rFonts w:ascii="Arial" w:cs="Arial" w:eastAsia="Arial" w:hAnsi="Arial"/>
                <w:sz w:val="14"/>
                <w:szCs w:val="14"/>
                <w:b w:val="1"/>
                <w:bCs w:val="1"/>
                <w:color w:val="FFFFFF"/>
                <w:w w:val="97"/>
              </w:rPr>
              <w:t>Option</w:t>
            </w:r>
          </w:p>
        </w:tc>
        <w:tc>
          <w:tcPr>
            <w:tcW w:w="140" w:type="dxa"/>
            <w:vAlign w:val="bottom"/>
            <w:shd w:val="clear" w:color="auto" w:fill="395796"/>
          </w:tcPr>
          <w:p>
            <w:pPr>
              <w:spacing w:after="0"/>
              <w:rPr>
                <w:sz w:val="14"/>
                <w:szCs w:val="14"/>
                <w:color w:val="auto"/>
              </w:rPr>
            </w:pPr>
          </w:p>
        </w:tc>
        <w:tc>
          <w:tcPr>
            <w:tcW w:w="60" w:type="dxa"/>
            <w:vAlign w:val="bottom"/>
            <w:shd w:val="clear" w:color="auto" w:fill="395796"/>
          </w:tcPr>
          <w:p>
            <w:pPr>
              <w:spacing w:after="0"/>
              <w:rPr>
                <w:sz w:val="14"/>
                <w:szCs w:val="14"/>
                <w:color w:val="auto"/>
              </w:rPr>
            </w:pPr>
          </w:p>
        </w:tc>
        <w:tc>
          <w:tcPr>
            <w:tcW w:w="1000" w:type="dxa"/>
            <w:vAlign w:val="bottom"/>
            <w:shd w:val="clear" w:color="auto" w:fill="395796"/>
          </w:tcPr>
          <w:p>
            <w:pPr>
              <w:jc w:val="right"/>
              <w:ind w:right="9"/>
              <w:spacing w:after="0"/>
              <w:rPr>
                <w:sz w:val="20"/>
                <w:szCs w:val="20"/>
                <w:color w:val="auto"/>
              </w:rPr>
            </w:pPr>
            <w:r>
              <w:rPr>
                <w:rFonts w:ascii="Arial" w:cs="Arial" w:eastAsia="Arial" w:hAnsi="Arial"/>
                <w:sz w:val="14"/>
                <w:szCs w:val="14"/>
                <w:b w:val="1"/>
                <w:bCs w:val="1"/>
                <w:color w:val="FFFFFF"/>
                <w:w w:val="95"/>
              </w:rPr>
              <w:t>Incentive Plan</w:t>
            </w:r>
          </w:p>
        </w:tc>
        <w:tc>
          <w:tcPr>
            <w:tcW w:w="140" w:type="dxa"/>
            <w:vAlign w:val="bottom"/>
            <w:shd w:val="clear" w:color="auto" w:fill="395796"/>
          </w:tcPr>
          <w:p>
            <w:pPr>
              <w:spacing w:after="0"/>
              <w:rPr>
                <w:sz w:val="14"/>
                <w:szCs w:val="14"/>
                <w:color w:val="auto"/>
              </w:rPr>
            </w:pPr>
          </w:p>
        </w:tc>
        <w:tc>
          <w:tcPr>
            <w:tcW w:w="240" w:type="dxa"/>
            <w:vAlign w:val="bottom"/>
            <w:shd w:val="clear" w:color="auto" w:fill="395796"/>
          </w:tcPr>
          <w:p>
            <w:pPr>
              <w:spacing w:after="0"/>
              <w:rPr>
                <w:sz w:val="14"/>
                <w:szCs w:val="14"/>
                <w:color w:val="auto"/>
              </w:rPr>
            </w:pPr>
          </w:p>
        </w:tc>
        <w:tc>
          <w:tcPr>
            <w:tcW w:w="820" w:type="dxa"/>
            <w:vAlign w:val="bottom"/>
            <w:shd w:val="clear" w:color="auto" w:fill="395796"/>
          </w:tcPr>
          <w:p>
            <w:pPr>
              <w:jc w:val="right"/>
              <w:ind w:right="13"/>
              <w:spacing w:after="0"/>
              <w:rPr>
                <w:sz w:val="20"/>
                <w:szCs w:val="20"/>
                <w:color w:val="auto"/>
              </w:rPr>
            </w:pPr>
            <w:r>
              <w:rPr>
                <w:rFonts w:ascii="Arial" w:cs="Arial" w:eastAsia="Arial" w:hAnsi="Arial"/>
                <w:sz w:val="14"/>
                <w:szCs w:val="14"/>
                <w:b w:val="1"/>
                <w:bCs w:val="1"/>
                <w:color w:val="FFFFFF"/>
              </w:rPr>
              <w:t>All Other</w:t>
            </w:r>
          </w:p>
        </w:tc>
        <w:tc>
          <w:tcPr>
            <w:tcW w:w="140" w:type="dxa"/>
            <w:vAlign w:val="bottom"/>
            <w:shd w:val="clear" w:color="auto" w:fill="395796"/>
          </w:tcPr>
          <w:p>
            <w:pPr>
              <w:spacing w:after="0"/>
              <w:rPr>
                <w:sz w:val="14"/>
                <w:szCs w:val="14"/>
                <w:color w:val="auto"/>
              </w:rPr>
            </w:pPr>
          </w:p>
        </w:tc>
        <w:tc>
          <w:tcPr>
            <w:tcW w:w="120" w:type="dxa"/>
            <w:vAlign w:val="bottom"/>
            <w:shd w:val="clear" w:color="auto" w:fill="395796"/>
          </w:tcPr>
          <w:p>
            <w:pPr>
              <w:spacing w:after="0"/>
              <w:rPr>
                <w:sz w:val="14"/>
                <w:szCs w:val="14"/>
                <w:color w:val="auto"/>
              </w:rPr>
            </w:pPr>
          </w:p>
        </w:tc>
        <w:tc>
          <w:tcPr>
            <w:tcW w:w="600" w:type="dxa"/>
            <w:vAlign w:val="bottom"/>
            <w:shd w:val="clear" w:color="auto" w:fill="39579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shd w:val="clear" w:color="auto" w:fill="395796"/>
          </w:tcPr>
          <w:p>
            <w:pPr>
              <w:spacing w:after="0"/>
              <w:rPr>
                <w:sz w:val="14"/>
                <w:szCs w:val="14"/>
                <w:color w:val="auto"/>
              </w:rPr>
            </w:pPr>
          </w:p>
        </w:tc>
        <w:tc>
          <w:tcPr>
            <w:tcW w:w="1720" w:type="dxa"/>
            <w:vAlign w:val="bottom"/>
            <w:shd w:val="clear" w:color="auto" w:fill="395796"/>
          </w:tcPr>
          <w:p>
            <w:pPr>
              <w:spacing w:after="0"/>
              <w:rPr>
                <w:sz w:val="14"/>
                <w:szCs w:val="14"/>
                <w:color w:val="auto"/>
              </w:rPr>
            </w:pPr>
          </w:p>
        </w:tc>
        <w:tc>
          <w:tcPr>
            <w:tcW w:w="80" w:type="dxa"/>
            <w:vAlign w:val="bottom"/>
            <w:shd w:val="clear" w:color="auto" w:fill="395796"/>
          </w:tcPr>
          <w:p>
            <w:pPr>
              <w:spacing w:after="0"/>
              <w:rPr>
                <w:sz w:val="14"/>
                <w:szCs w:val="14"/>
                <w:color w:val="auto"/>
              </w:rPr>
            </w:pPr>
          </w:p>
        </w:tc>
        <w:tc>
          <w:tcPr>
            <w:tcW w:w="380" w:type="dxa"/>
            <w:vAlign w:val="bottom"/>
            <w:shd w:val="clear" w:color="auto" w:fill="395796"/>
          </w:tcPr>
          <w:p>
            <w:pPr>
              <w:spacing w:after="0"/>
              <w:rPr>
                <w:sz w:val="14"/>
                <w:szCs w:val="14"/>
                <w:color w:val="auto"/>
              </w:rPr>
            </w:pPr>
          </w:p>
        </w:tc>
        <w:tc>
          <w:tcPr>
            <w:tcW w:w="200" w:type="dxa"/>
            <w:vAlign w:val="bottom"/>
            <w:shd w:val="clear" w:color="auto" w:fill="395796"/>
          </w:tcPr>
          <w:p>
            <w:pPr>
              <w:spacing w:after="0"/>
              <w:rPr>
                <w:sz w:val="14"/>
                <w:szCs w:val="14"/>
                <w:color w:val="auto"/>
              </w:rPr>
            </w:pPr>
          </w:p>
        </w:tc>
        <w:tc>
          <w:tcPr>
            <w:tcW w:w="520" w:type="dxa"/>
            <w:vAlign w:val="bottom"/>
            <w:shd w:val="clear" w:color="auto" w:fill="395796"/>
          </w:tcPr>
          <w:p>
            <w:pPr>
              <w:jc w:val="right"/>
              <w:ind w:right="28"/>
              <w:spacing w:after="0"/>
              <w:rPr>
                <w:sz w:val="20"/>
                <w:szCs w:val="20"/>
                <w:color w:val="auto"/>
              </w:rPr>
            </w:pPr>
            <w:r>
              <w:rPr>
                <w:rFonts w:ascii="Arial" w:cs="Arial" w:eastAsia="Arial" w:hAnsi="Arial"/>
                <w:sz w:val="14"/>
                <w:szCs w:val="14"/>
                <w:b w:val="1"/>
                <w:bCs w:val="1"/>
                <w:color w:val="FFFFFF"/>
                <w:w w:val="95"/>
              </w:rPr>
              <w:t>Salary</w:t>
            </w:r>
          </w:p>
        </w:tc>
        <w:tc>
          <w:tcPr>
            <w:tcW w:w="120" w:type="dxa"/>
            <w:vAlign w:val="bottom"/>
            <w:shd w:val="clear" w:color="auto" w:fill="395796"/>
          </w:tcPr>
          <w:p>
            <w:pPr>
              <w:spacing w:after="0"/>
              <w:rPr>
                <w:sz w:val="14"/>
                <w:szCs w:val="14"/>
                <w:color w:val="auto"/>
              </w:rPr>
            </w:pPr>
          </w:p>
        </w:tc>
        <w:tc>
          <w:tcPr>
            <w:tcW w:w="80" w:type="dxa"/>
            <w:vAlign w:val="bottom"/>
            <w:shd w:val="clear" w:color="auto" w:fill="395796"/>
          </w:tcPr>
          <w:p>
            <w:pPr>
              <w:spacing w:after="0"/>
              <w:rPr>
                <w:sz w:val="14"/>
                <w:szCs w:val="14"/>
                <w:color w:val="auto"/>
              </w:rPr>
            </w:pPr>
          </w:p>
        </w:tc>
        <w:tc>
          <w:tcPr>
            <w:tcW w:w="520" w:type="dxa"/>
            <w:vAlign w:val="bottom"/>
            <w:shd w:val="clear" w:color="auto" w:fill="395796"/>
          </w:tcPr>
          <w:p>
            <w:pPr>
              <w:jc w:val="right"/>
              <w:ind w:right="9"/>
              <w:spacing w:after="0"/>
              <w:rPr>
                <w:sz w:val="20"/>
                <w:szCs w:val="20"/>
                <w:color w:val="auto"/>
              </w:rPr>
            </w:pPr>
            <w:r>
              <w:rPr>
                <w:rFonts w:ascii="Arial" w:cs="Arial" w:eastAsia="Arial" w:hAnsi="Arial"/>
                <w:sz w:val="14"/>
                <w:szCs w:val="14"/>
                <w:b w:val="1"/>
                <w:bCs w:val="1"/>
                <w:color w:val="FFFFFF"/>
                <w:w w:val="96"/>
              </w:rPr>
              <w:t>Bonus</w:t>
            </w:r>
          </w:p>
        </w:tc>
        <w:tc>
          <w:tcPr>
            <w:tcW w:w="140" w:type="dxa"/>
            <w:vAlign w:val="bottom"/>
            <w:shd w:val="clear" w:color="auto" w:fill="395796"/>
          </w:tcPr>
          <w:p>
            <w:pPr>
              <w:spacing w:after="0"/>
              <w:rPr>
                <w:sz w:val="14"/>
                <w:szCs w:val="14"/>
                <w:color w:val="auto"/>
              </w:rPr>
            </w:pPr>
          </w:p>
        </w:tc>
        <w:tc>
          <w:tcPr>
            <w:tcW w:w="620" w:type="dxa"/>
            <w:vAlign w:val="bottom"/>
            <w:gridSpan w:val="2"/>
            <w:shd w:val="clear" w:color="auto" w:fill="395796"/>
          </w:tcPr>
          <w:p>
            <w:pPr>
              <w:jc w:val="right"/>
              <w:ind w:right="29"/>
              <w:spacing w:after="0"/>
              <w:rPr>
                <w:sz w:val="20"/>
                <w:szCs w:val="20"/>
                <w:color w:val="auto"/>
              </w:rPr>
            </w:pPr>
            <w:r>
              <w:rPr>
                <w:rFonts w:ascii="Arial" w:cs="Arial" w:eastAsia="Arial" w:hAnsi="Arial"/>
                <w:sz w:val="14"/>
                <w:szCs w:val="14"/>
                <w:b w:val="1"/>
                <w:bCs w:val="1"/>
                <w:color w:val="FFFFFF"/>
                <w:w w:val="98"/>
              </w:rPr>
              <w:t>Awards</w:t>
            </w:r>
          </w:p>
        </w:tc>
        <w:tc>
          <w:tcPr>
            <w:tcW w:w="140" w:type="dxa"/>
            <w:vAlign w:val="bottom"/>
            <w:shd w:val="clear" w:color="auto" w:fill="395796"/>
          </w:tcPr>
          <w:p>
            <w:pPr>
              <w:spacing w:after="0"/>
              <w:rPr>
                <w:sz w:val="14"/>
                <w:szCs w:val="14"/>
                <w:color w:val="auto"/>
              </w:rPr>
            </w:pPr>
          </w:p>
        </w:tc>
        <w:tc>
          <w:tcPr>
            <w:tcW w:w="620" w:type="dxa"/>
            <w:vAlign w:val="bottom"/>
            <w:gridSpan w:val="2"/>
            <w:shd w:val="clear" w:color="auto" w:fill="395796"/>
          </w:tcPr>
          <w:p>
            <w:pPr>
              <w:jc w:val="right"/>
              <w:ind w:right="29"/>
              <w:spacing w:after="0"/>
              <w:rPr>
                <w:sz w:val="20"/>
                <w:szCs w:val="20"/>
                <w:color w:val="auto"/>
              </w:rPr>
            </w:pPr>
            <w:r>
              <w:rPr>
                <w:rFonts w:ascii="Arial" w:cs="Arial" w:eastAsia="Arial" w:hAnsi="Arial"/>
                <w:sz w:val="14"/>
                <w:szCs w:val="14"/>
                <w:b w:val="1"/>
                <w:bCs w:val="1"/>
                <w:color w:val="FFFFFF"/>
                <w:w w:val="98"/>
              </w:rPr>
              <w:t>Awards</w:t>
            </w:r>
          </w:p>
        </w:tc>
        <w:tc>
          <w:tcPr>
            <w:tcW w:w="140" w:type="dxa"/>
            <w:vAlign w:val="bottom"/>
            <w:shd w:val="clear" w:color="auto" w:fill="395796"/>
          </w:tcPr>
          <w:p>
            <w:pPr>
              <w:spacing w:after="0"/>
              <w:rPr>
                <w:sz w:val="14"/>
                <w:szCs w:val="14"/>
                <w:color w:val="auto"/>
              </w:rPr>
            </w:pPr>
          </w:p>
        </w:tc>
        <w:tc>
          <w:tcPr>
            <w:tcW w:w="1060" w:type="dxa"/>
            <w:vAlign w:val="bottom"/>
            <w:gridSpan w:val="2"/>
            <w:shd w:val="clear" w:color="auto" w:fill="395796"/>
          </w:tcPr>
          <w:p>
            <w:pPr>
              <w:jc w:val="right"/>
              <w:ind w:right="29"/>
              <w:spacing w:after="0"/>
              <w:rPr>
                <w:sz w:val="20"/>
                <w:szCs w:val="20"/>
                <w:color w:val="auto"/>
              </w:rPr>
            </w:pPr>
            <w:r>
              <w:rPr>
                <w:rFonts w:ascii="Arial" w:cs="Arial" w:eastAsia="Arial" w:hAnsi="Arial"/>
                <w:sz w:val="14"/>
                <w:szCs w:val="14"/>
                <w:b w:val="1"/>
                <w:bCs w:val="1"/>
                <w:color w:val="FFFFFF"/>
                <w:w w:val="96"/>
              </w:rPr>
              <w:t>Compensation</w:t>
            </w:r>
          </w:p>
        </w:tc>
        <w:tc>
          <w:tcPr>
            <w:tcW w:w="140" w:type="dxa"/>
            <w:vAlign w:val="bottom"/>
            <w:shd w:val="clear" w:color="auto" w:fill="395796"/>
          </w:tcPr>
          <w:p>
            <w:pPr>
              <w:spacing w:after="0"/>
              <w:rPr>
                <w:sz w:val="14"/>
                <w:szCs w:val="14"/>
                <w:color w:val="auto"/>
              </w:rPr>
            </w:pPr>
          </w:p>
        </w:tc>
        <w:tc>
          <w:tcPr>
            <w:tcW w:w="1060" w:type="dxa"/>
            <w:vAlign w:val="bottom"/>
            <w:gridSpan w:val="2"/>
            <w:shd w:val="clear" w:color="auto" w:fill="395796"/>
          </w:tcPr>
          <w:p>
            <w:pPr>
              <w:jc w:val="right"/>
              <w:ind w:right="33"/>
              <w:spacing w:after="0"/>
              <w:rPr>
                <w:sz w:val="20"/>
                <w:szCs w:val="20"/>
                <w:color w:val="auto"/>
              </w:rPr>
            </w:pPr>
            <w:r>
              <w:rPr>
                <w:rFonts w:ascii="Arial" w:cs="Arial" w:eastAsia="Arial" w:hAnsi="Arial"/>
                <w:sz w:val="14"/>
                <w:szCs w:val="14"/>
                <w:b w:val="1"/>
                <w:bCs w:val="1"/>
                <w:color w:val="FFFFFF"/>
                <w:w w:val="96"/>
              </w:rPr>
              <w:t>Compensation</w:t>
            </w:r>
          </w:p>
        </w:tc>
        <w:tc>
          <w:tcPr>
            <w:tcW w:w="140" w:type="dxa"/>
            <w:vAlign w:val="bottom"/>
            <w:shd w:val="clear" w:color="auto" w:fill="395796"/>
          </w:tcPr>
          <w:p>
            <w:pPr>
              <w:spacing w:after="0"/>
              <w:rPr>
                <w:sz w:val="14"/>
                <w:szCs w:val="14"/>
                <w:color w:val="auto"/>
              </w:rPr>
            </w:pPr>
          </w:p>
        </w:tc>
        <w:tc>
          <w:tcPr>
            <w:tcW w:w="120" w:type="dxa"/>
            <w:vAlign w:val="bottom"/>
            <w:shd w:val="clear" w:color="auto" w:fill="395796"/>
          </w:tcPr>
          <w:p>
            <w:pPr>
              <w:spacing w:after="0"/>
              <w:rPr>
                <w:sz w:val="14"/>
                <w:szCs w:val="14"/>
                <w:color w:val="auto"/>
              </w:rPr>
            </w:pPr>
          </w:p>
        </w:tc>
        <w:tc>
          <w:tcPr>
            <w:tcW w:w="600" w:type="dxa"/>
            <w:vAlign w:val="bottom"/>
            <w:shd w:val="clear" w:color="auto" w:fill="395796"/>
          </w:tcPr>
          <w:p>
            <w:pPr>
              <w:jc w:val="right"/>
              <w:ind w:right="8"/>
              <w:spacing w:after="0"/>
              <w:rPr>
                <w:sz w:val="20"/>
                <w:szCs w:val="20"/>
                <w:color w:val="auto"/>
              </w:rPr>
            </w:pPr>
            <w:r>
              <w:rPr>
                <w:rFonts w:ascii="Arial" w:cs="Arial" w:eastAsia="Arial" w:hAnsi="Arial"/>
                <w:sz w:val="14"/>
                <w:szCs w:val="14"/>
                <w:b w:val="1"/>
                <w:bCs w:val="1"/>
                <w:color w:val="FFFFFF"/>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20" w:type="dxa"/>
            <w:vAlign w:val="bottom"/>
            <w:gridSpan w:val="2"/>
            <w:shd w:val="clear" w:color="auto" w:fill="395796"/>
          </w:tcPr>
          <w:p>
            <w:pPr>
              <w:ind w:left="60"/>
              <w:spacing w:after="0" w:line="145" w:lineRule="exact"/>
              <w:rPr>
                <w:sz w:val="20"/>
                <w:szCs w:val="20"/>
                <w:color w:val="auto"/>
              </w:rPr>
            </w:pPr>
            <w:r>
              <w:rPr>
                <w:rFonts w:ascii="Arial" w:cs="Arial" w:eastAsia="Arial" w:hAnsi="Arial"/>
                <w:sz w:val="14"/>
                <w:szCs w:val="14"/>
                <w:b w:val="1"/>
                <w:bCs w:val="1"/>
                <w:color w:val="FFFFFF"/>
              </w:rPr>
              <w:t>Name and Principal Position</w:t>
            </w:r>
          </w:p>
        </w:tc>
        <w:tc>
          <w:tcPr>
            <w:tcW w:w="80" w:type="dxa"/>
            <w:vAlign w:val="bottom"/>
            <w:shd w:val="clear" w:color="auto" w:fill="395796"/>
          </w:tcPr>
          <w:p>
            <w:pPr>
              <w:spacing w:after="0"/>
              <w:rPr>
                <w:sz w:val="12"/>
                <w:szCs w:val="12"/>
                <w:color w:val="auto"/>
              </w:rPr>
            </w:pPr>
          </w:p>
        </w:tc>
        <w:tc>
          <w:tcPr>
            <w:tcW w:w="380" w:type="dxa"/>
            <w:vAlign w:val="bottom"/>
            <w:shd w:val="clear" w:color="auto" w:fill="395796"/>
          </w:tcPr>
          <w:p>
            <w:pPr>
              <w:ind w:left="40"/>
              <w:spacing w:after="0" w:line="145" w:lineRule="exact"/>
              <w:rPr>
                <w:sz w:val="20"/>
                <w:szCs w:val="20"/>
                <w:color w:val="auto"/>
              </w:rPr>
            </w:pPr>
            <w:r>
              <w:rPr>
                <w:rFonts w:ascii="Arial" w:cs="Arial" w:eastAsia="Arial" w:hAnsi="Arial"/>
                <w:sz w:val="14"/>
                <w:szCs w:val="14"/>
                <w:b w:val="1"/>
                <w:bCs w:val="1"/>
                <w:color w:val="FFFFFF"/>
              </w:rPr>
              <w:t>Year</w:t>
            </w:r>
          </w:p>
        </w:tc>
        <w:tc>
          <w:tcPr>
            <w:tcW w:w="200" w:type="dxa"/>
            <w:vAlign w:val="bottom"/>
            <w:vMerge w:val="restart"/>
            <w:shd w:val="clear" w:color="auto" w:fill="395796"/>
          </w:tcPr>
          <w:p>
            <w:pPr>
              <w:ind w:left="40"/>
              <w:spacing w:after="0"/>
              <w:rPr>
                <w:sz w:val="20"/>
                <w:szCs w:val="20"/>
                <w:color w:val="auto"/>
              </w:rPr>
            </w:pPr>
            <w:r>
              <w:rPr>
                <w:rFonts w:ascii="Arial" w:cs="Arial" w:eastAsia="Arial" w:hAnsi="Arial"/>
                <w:sz w:val="14"/>
                <w:szCs w:val="14"/>
                <w:b w:val="1"/>
                <w:bCs w:val="1"/>
                <w:color w:val="FFFFFF"/>
              </w:rPr>
              <w:t>​ ​</w:t>
            </w:r>
          </w:p>
        </w:tc>
        <w:tc>
          <w:tcPr>
            <w:tcW w:w="520" w:type="dxa"/>
            <w:vAlign w:val="bottom"/>
            <w:shd w:val="clear" w:color="auto" w:fill="395796"/>
          </w:tcPr>
          <w:p>
            <w:pPr>
              <w:jc w:val="right"/>
              <w:spacing w:after="0" w:line="145" w:lineRule="exact"/>
              <w:rPr>
                <w:sz w:val="20"/>
                <w:szCs w:val="20"/>
                <w:color w:val="auto"/>
              </w:rPr>
            </w:pPr>
            <w:r>
              <w:rPr>
                <w:rFonts w:ascii="Arial" w:cs="Arial" w:eastAsia="Arial" w:hAnsi="Arial"/>
                <w:sz w:val="14"/>
                <w:szCs w:val="14"/>
                <w:b w:val="1"/>
                <w:bCs w:val="1"/>
                <w:color w:val="FFFFFF"/>
              </w:rPr>
              <w:t>($)</w:t>
            </w:r>
          </w:p>
        </w:tc>
        <w:tc>
          <w:tcPr>
            <w:tcW w:w="200" w:type="dxa"/>
            <w:vAlign w:val="bottom"/>
            <w:gridSpan w:val="2"/>
            <w:vMerge w:val="restart"/>
            <w:shd w:val="clear" w:color="auto" w:fill="395796"/>
          </w:tcPr>
          <w:p>
            <w:pPr>
              <w:jc w:val="right"/>
              <w:spacing w:after="0"/>
              <w:rPr>
                <w:sz w:val="20"/>
                <w:szCs w:val="20"/>
                <w:color w:val="auto"/>
              </w:rPr>
            </w:pPr>
            <w:r>
              <w:rPr>
                <w:rFonts w:ascii="Arial" w:cs="Arial" w:eastAsia="Arial" w:hAnsi="Arial"/>
                <w:sz w:val="14"/>
                <w:szCs w:val="14"/>
                <w:b w:val="1"/>
                <w:bCs w:val="1"/>
                <w:color w:val="FFFFFF"/>
              </w:rPr>
              <w:t>​ ​</w:t>
            </w:r>
          </w:p>
        </w:tc>
        <w:tc>
          <w:tcPr>
            <w:tcW w:w="520" w:type="dxa"/>
            <w:vAlign w:val="bottom"/>
            <w:shd w:val="clear" w:color="auto" w:fill="395796"/>
          </w:tcPr>
          <w:p>
            <w:pPr>
              <w:jc w:val="right"/>
              <w:spacing w:after="0" w:line="145"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6"/>
                <w:szCs w:val="16"/>
                <w:b w:val="1"/>
                <w:bCs w:val="1"/>
                <w:color w:val="FFFFFF"/>
                <w:vertAlign w:val="superscript"/>
              </w:rPr>
              <w:t>(1)</w:t>
            </w:r>
          </w:p>
        </w:tc>
        <w:tc>
          <w:tcPr>
            <w:tcW w:w="240" w:type="dxa"/>
            <w:vAlign w:val="bottom"/>
            <w:gridSpan w:val="2"/>
            <w:vMerge w:val="restart"/>
            <w:shd w:val="clear" w:color="auto" w:fill="395796"/>
          </w:tcPr>
          <w:p>
            <w:pPr>
              <w:jc w:val="right"/>
              <w:spacing w:after="0"/>
              <w:rPr>
                <w:sz w:val="20"/>
                <w:szCs w:val="20"/>
                <w:color w:val="auto"/>
              </w:rPr>
            </w:pPr>
            <w:r>
              <w:rPr>
                <w:rFonts w:ascii="Arial" w:cs="Arial" w:eastAsia="Arial" w:hAnsi="Arial"/>
                <w:sz w:val="14"/>
                <w:szCs w:val="14"/>
                <w:b w:val="1"/>
                <w:bCs w:val="1"/>
                <w:color w:val="FFFFFF"/>
              </w:rPr>
              <w:t>​ ​</w:t>
            </w:r>
          </w:p>
        </w:tc>
        <w:tc>
          <w:tcPr>
            <w:tcW w:w="520" w:type="dxa"/>
            <w:vAlign w:val="bottom"/>
            <w:shd w:val="clear" w:color="auto" w:fill="395796"/>
          </w:tcPr>
          <w:p>
            <w:pPr>
              <w:jc w:val="right"/>
              <w:spacing w:after="0" w:line="145"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6"/>
                <w:szCs w:val="16"/>
                <w:b w:val="1"/>
                <w:bCs w:val="1"/>
                <w:color w:val="FFFFFF"/>
                <w:vertAlign w:val="superscript"/>
              </w:rPr>
              <w:t>(2)</w:t>
            </w:r>
          </w:p>
        </w:tc>
        <w:tc>
          <w:tcPr>
            <w:tcW w:w="220" w:type="dxa"/>
            <w:vAlign w:val="bottom"/>
            <w:gridSpan w:val="2"/>
            <w:vMerge w:val="restart"/>
            <w:shd w:val="clear" w:color="auto" w:fill="395796"/>
          </w:tcPr>
          <w:p>
            <w:pPr>
              <w:jc w:val="right"/>
              <w:spacing w:after="0"/>
              <w:rPr>
                <w:sz w:val="20"/>
                <w:szCs w:val="20"/>
                <w:color w:val="auto"/>
              </w:rPr>
            </w:pPr>
            <w:r>
              <w:rPr>
                <w:rFonts w:ascii="Arial" w:cs="Arial" w:eastAsia="Arial" w:hAnsi="Arial"/>
                <w:sz w:val="14"/>
                <w:szCs w:val="14"/>
                <w:b w:val="1"/>
                <w:bCs w:val="1"/>
                <w:color w:val="FFFFFF"/>
              </w:rPr>
              <w:t>​ ​</w:t>
            </w:r>
          </w:p>
        </w:tc>
        <w:tc>
          <w:tcPr>
            <w:tcW w:w="540" w:type="dxa"/>
            <w:vAlign w:val="bottom"/>
            <w:shd w:val="clear" w:color="auto" w:fill="395796"/>
          </w:tcPr>
          <w:p>
            <w:pPr>
              <w:jc w:val="right"/>
              <w:spacing w:after="0" w:line="145"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6"/>
                <w:szCs w:val="16"/>
                <w:b w:val="1"/>
                <w:bCs w:val="1"/>
                <w:color w:val="FFFFFF"/>
                <w:vertAlign w:val="superscript"/>
              </w:rPr>
              <w:t>(3)</w:t>
            </w:r>
          </w:p>
        </w:tc>
        <w:tc>
          <w:tcPr>
            <w:tcW w:w="200" w:type="dxa"/>
            <w:vAlign w:val="bottom"/>
            <w:gridSpan w:val="2"/>
            <w:vMerge w:val="restart"/>
            <w:shd w:val="clear" w:color="auto" w:fill="395796"/>
          </w:tcPr>
          <w:p>
            <w:pPr>
              <w:jc w:val="right"/>
              <w:spacing w:after="0"/>
              <w:rPr>
                <w:sz w:val="20"/>
                <w:szCs w:val="20"/>
                <w:color w:val="auto"/>
              </w:rPr>
            </w:pPr>
            <w:r>
              <w:rPr>
                <w:rFonts w:ascii="Arial" w:cs="Arial" w:eastAsia="Arial" w:hAnsi="Arial"/>
                <w:sz w:val="14"/>
                <w:szCs w:val="14"/>
                <w:b w:val="1"/>
                <w:bCs w:val="1"/>
                <w:color w:val="FFFFFF"/>
              </w:rPr>
              <w:t>​ ​</w:t>
            </w:r>
          </w:p>
        </w:tc>
        <w:tc>
          <w:tcPr>
            <w:tcW w:w="1000" w:type="dxa"/>
            <w:vAlign w:val="bottom"/>
            <w:shd w:val="clear" w:color="auto" w:fill="395796"/>
          </w:tcPr>
          <w:p>
            <w:pPr>
              <w:jc w:val="right"/>
              <w:spacing w:after="0" w:line="145"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6"/>
                <w:szCs w:val="16"/>
                <w:b w:val="1"/>
                <w:bCs w:val="1"/>
                <w:color w:val="FFFFFF"/>
                <w:vertAlign w:val="superscript"/>
              </w:rPr>
              <w:t>(4)</w:t>
            </w:r>
          </w:p>
        </w:tc>
        <w:tc>
          <w:tcPr>
            <w:tcW w:w="380" w:type="dxa"/>
            <w:vAlign w:val="bottom"/>
            <w:gridSpan w:val="2"/>
            <w:vMerge w:val="restart"/>
            <w:shd w:val="clear" w:color="auto" w:fill="395796"/>
          </w:tcPr>
          <w:p>
            <w:pPr>
              <w:jc w:val="right"/>
              <w:ind w:right="108"/>
              <w:spacing w:after="0"/>
              <w:rPr>
                <w:sz w:val="20"/>
                <w:szCs w:val="20"/>
                <w:color w:val="auto"/>
              </w:rPr>
            </w:pPr>
            <w:r>
              <w:rPr>
                <w:rFonts w:ascii="Arial" w:cs="Arial" w:eastAsia="Arial" w:hAnsi="Arial"/>
                <w:sz w:val="14"/>
                <w:szCs w:val="14"/>
                <w:b w:val="1"/>
                <w:bCs w:val="1"/>
                <w:color w:val="FFFFFF"/>
              </w:rPr>
              <w:t>​ ​</w:t>
            </w:r>
          </w:p>
        </w:tc>
        <w:tc>
          <w:tcPr>
            <w:tcW w:w="820" w:type="dxa"/>
            <w:vAlign w:val="bottom"/>
            <w:shd w:val="clear" w:color="auto" w:fill="395796"/>
          </w:tcPr>
          <w:p>
            <w:pPr>
              <w:jc w:val="right"/>
              <w:spacing w:after="0" w:line="145" w:lineRule="exact"/>
              <w:rPr>
                <w:sz w:val="20"/>
                <w:szCs w:val="20"/>
                <w:color w:val="auto"/>
              </w:rPr>
            </w:pPr>
            <w:r>
              <w:rPr>
                <w:rFonts w:ascii="Arial" w:cs="Arial" w:eastAsia="Arial" w:hAnsi="Arial"/>
                <w:sz w:val="16"/>
                <w:szCs w:val="16"/>
                <w:b w:val="1"/>
                <w:bCs w:val="1"/>
                <w:color w:val="FFFFFF"/>
                <w:vertAlign w:val="subscript"/>
              </w:rPr>
              <w:t>($)</w:t>
            </w:r>
            <w:r>
              <w:rPr>
                <w:rFonts w:ascii="Arial" w:cs="Arial" w:eastAsia="Arial" w:hAnsi="Arial"/>
                <w:sz w:val="7"/>
                <w:szCs w:val="7"/>
                <w:b w:val="1"/>
                <w:bCs w:val="1"/>
                <w:color w:val="FFFFFF"/>
              </w:rPr>
              <w:t>(5)(6)</w:t>
            </w:r>
          </w:p>
        </w:tc>
        <w:tc>
          <w:tcPr>
            <w:tcW w:w="260" w:type="dxa"/>
            <w:vAlign w:val="bottom"/>
            <w:gridSpan w:val="2"/>
            <w:vMerge w:val="restart"/>
            <w:shd w:val="clear" w:color="auto" w:fill="395796"/>
          </w:tcPr>
          <w:p>
            <w:pPr>
              <w:jc w:val="right"/>
              <w:spacing w:after="0"/>
              <w:rPr>
                <w:sz w:val="20"/>
                <w:szCs w:val="20"/>
                <w:color w:val="auto"/>
              </w:rPr>
            </w:pPr>
            <w:r>
              <w:rPr>
                <w:rFonts w:ascii="Arial" w:cs="Arial" w:eastAsia="Arial" w:hAnsi="Arial"/>
                <w:sz w:val="14"/>
                <w:szCs w:val="14"/>
                <w:b w:val="1"/>
                <w:bCs w:val="1"/>
                <w:color w:val="FFFFFF"/>
              </w:rPr>
              <w:t>​ ​</w:t>
            </w:r>
          </w:p>
        </w:tc>
        <w:tc>
          <w:tcPr>
            <w:tcW w:w="600" w:type="dxa"/>
            <w:vAlign w:val="bottom"/>
            <w:shd w:val="clear" w:color="auto" w:fill="395796"/>
          </w:tcPr>
          <w:p>
            <w:pPr>
              <w:jc w:val="right"/>
              <w:spacing w:after="0" w:line="145" w:lineRule="exact"/>
              <w:rPr>
                <w:sz w:val="20"/>
                <w:szCs w:val="20"/>
                <w:color w:val="auto"/>
              </w:rPr>
            </w:pPr>
            <w:r>
              <w:rPr>
                <w:rFonts w:ascii="Arial" w:cs="Arial" w:eastAsia="Arial" w:hAnsi="Arial"/>
                <w:sz w:val="14"/>
                <w:szCs w:val="14"/>
                <w:b w:val="1"/>
                <w:bCs w:val="1"/>
                <w:color w:val="FFFFFF"/>
              </w:rPr>
              <w:t>($)</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34"/>
        </w:trPr>
        <w:tc>
          <w:tcPr>
            <w:tcW w:w="900" w:type="dxa"/>
            <w:vAlign w:val="bottom"/>
            <w:tcBorders>
              <w:bottom w:val="single" w:sz="8" w:color="395796"/>
            </w:tcBorders>
            <w:shd w:val="clear" w:color="auto" w:fill="395796"/>
          </w:tcPr>
          <w:p>
            <w:pPr>
              <w:ind w:left="60"/>
              <w:spacing w:after="0" w:line="32" w:lineRule="exact"/>
              <w:rPr>
                <w:sz w:val="20"/>
                <w:szCs w:val="20"/>
                <w:color w:val="auto"/>
              </w:rPr>
            </w:pPr>
            <w:r>
              <w:rPr>
                <w:rFonts w:ascii="Arial" w:cs="Arial" w:eastAsia="Arial" w:hAnsi="Arial"/>
                <w:sz w:val="3"/>
                <w:szCs w:val="3"/>
                <w:b w:val="1"/>
                <w:bCs w:val="1"/>
                <w:color w:val="FFFFFF"/>
              </w:rPr>
              <w:t>​</w:t>
            </w:r>
          </w:p>
        </w:tc>
        <w:tc>
          <w:tcPr>
            <w:tcW w:w="1720" w:type="dxa"/>
            <w:vAlign w:val="bottom"/>
            <w:tcBorders>
              <w:bottom w:val="single" w:sz="8" w:color="395796"/>
            </w:tcBorders>
            <w:shd w:val="clear" w:color="auto" w:fill="395796"/>
          </w:tcPr>
          <w:p>
            <w:pPr>
              <w:spacing w:after="0"/>
              <w:rPr>
                <w:sz w:val="2"/>
                <w:szCs w:val="2"/>
                <w:color w:val="auto"/>
              </w:rPr>
            </w:pPr>
          </w:p>
        </w:tc>
        <w:tc>
          <w:tcPr>
            <w:tcW w:w="460" w:type="dxa"/>
            <w:vAlign w:val="bottom"/>
            <w:tcBorders>
              <w:bottom w:val="single" w:sz="8" w:color="395796"/>
            </w:tcBorders>
            <w:gridSpan w:val="2"/>
            <w:shd w:val="clear" w:color="auto" w:fill="395796"/>
          </w:tcPr>
          <w:p>
            <w:pPr>
              <w:spacing w:after="0" w:line="32" w:lineRule="exact"/>
              <w:rPr>
                <w:sz w:val="20"/>
                <w:szCs w:val="20"/>
                <w:color w:val="auto"/>
              </w:rPr>
            </w:pPr>
            <w:r>
              <w:rPr>
                <w:rFonts w:ascii="Arial" w:cs="Arial" w:eastAsia="Arial" w:hAnsi="Arial"/>
                <w:sz w:val="3"/>
                <w:szCs w:val="3"/>
                <w:b w:val="1"/>
                <w:bCs w:val="1"/>
                <w:color w:val="FFFFFF"/>
              </w:rPr>
              <w:t>​ ​</w:t>
            </w:r>
          </w:p>
        </w:tc>
        <w:tc>
          <w:tcPr>
            <w:tcW w:w="200" w:type="dxa"/>
            <w:vAlign w:val="bottom"/>
            <w:tcBorders>
              <w:bottom w:val="single" w:sz="8" w:color="395796"/>
            </w:tcBorders>
            <w:vMerge w:val="continue"/>
            <w:shd w:val="clear" w:color="auto" w:fill="395796"/>
          </w:tcPr>
          <w:p>
            <w:pPr>
              <w:spacing w:after="0"/>
              <w:rPr>
                <w:sz w:val="2"/>
                <w:szCs w:val="2"/>
                <w:color w:val="auto"/>
              </w:rPr>
            </w:pPr>
          </w:p>
        </w:tc>
        <w:tc>
          <w:tcPr>
            <w:tcW w:w="520" w:type="dxa"/>
            <w:vAlign w:val="bottom"/>
            <w:tcBorders>
              <w:bottom w:val="single" w:sz="8" w:color="395796"/>
            </w:tcBorders>
            <w:shd w:val="clear" w:color="auto" w:fill="395796"/>
          </w:tcPr>
          <w:p>
            <w:pPr>
              <w:spacing w:after="0"/>
              <w:rPr>
                <w:sz w:val="2"/>
                <w:szCs w:val="2"/>
                <w:color w:val="auto"/>
              </w:rPr>
            </w:pPr>
          </w:p>
        </w:tc>
        <w:tc>
          <w:tcPr>
            <w:tcW w:w="200" w:type="dxa"/>
            <w:vAlign w:val="bottom"/>
            <w:tcBorders>
              <w:bottom w:val="single" w:sz="8" w:color="395796"/>
            </w:tcBorders>
            <w:gridSpan w:val="2"/>
            <w:vMerge w:val="continue"/>
            <w:shd w:val="clear" w:color="auto" w:fill="395796"/>
          </w:tcPr>
          <w:p>
            <w:pPr>
              <w:spacing w:after="0"/>
              <w:rPr>
                <w:sz w:val="2"/>
                <w:szCs w:val="2"/>
                <w:color w:val="auto"/>
              </w:rPr>
            </w:pPr>
          </w:p>
        </w:tc>
        <w:tc>
          <w:tcPr>
            <w:tcW w:w="520" w:type="dxa"/>
            <w:vAlign w:val="bottom"/>
            <w:tcBorders>
              <w:bottom w:val="single" w:sz="8" w:color="395796"/>
            </w:tcBorders>
            <w:shd w:val="clear" w:color="auto" w:fill="395796"/>
          </w:tcPr>
          <w:p>
            <w:pPr>
              <w:spacing w:after="0"/>
              <w:rPr>
                <w:sz w:val="2"/>
                <w:szCs w:val="2"/>
                <w:color w:val="auto"/>
              </w:rPr>
            </w:pPr>
          </w:p>
        </w:tc>
        <w:tc>
          <w:tcPr>
            <w:tcW w:w="240" w:type="dxa"/>
            <w:vAlign w:val="bottom"/>
            <w:tcBorders>
              <w:bottom w:val="single" w:sz="8" w:color="395796"/>
            </w:tcBorders>
            <w:gridSpan w:val="2"/>
            <w:vMerge w:val="continue"/>
            <w:shd w:val="clear" w:color="auto" w:fill="395796"/>
          </w:tcPr>
          <w:p>
            <w:pPr>
              <w:spacing w:after="0"/>
              <w:rPr>
                <w:sz w:val="2"/>
                <w:szCs w:val="2"/>
                <w:color w:val="auto"/>
              </w:rPr>
            </w:pPr>
          </w:p>
        </w:tc>
        <w:tc>
          <w:tcPr>
            <w:tcW w:w="520" w:type="dxa"/>
            <w:vAlign w:val="bottom"/>
            <w:tcBorders>
              <w:bottom w:val="single" w:sz="8" w:color="395796"/>
            </w:tcBorders>
            <w:shd w:val="clear" w:color="auto" w:fill="395796"/>
          </w:tcPr>
          <w:p>
            <w:pPr>
              <w:spacing w:after="0"/>
              <w:rPr>
                <w:sz w:val="2"/>
                <w:szCs w:val="2"/>
                <w:color w:val="auto"/>
              </w:rPr>
            </w:pPr>
          </w:p>
        </w:tc>
        <w:tc>
          <w:tcPr>
            <w:tcW w:w="220" w:type="dxa"/>
            <w:vAlign w:val="bottom"/>
            <w:tcBorders>
              <w:bottom w:val="single" w:sz="8" w:color="395796"/>
            </w:tcBorders>
            <w:gridSpan w:val="2"/>
            <w:vMerge w:val="continue"/>
            <w:shd w:val="clear" w:color="auto" w:fill="395796"/>
          </w:tcPr>
          <w:p>
            <w:pPr>
              <w:spacing w:after="0"/>
              <w:rPr>
                <w:sz w:val="2"/>
                <w:szCs w:val="2"/>
                <w:color w:val="auto"/>
              </w:rPr>
            </w:pPr>
          </w:p>
        </w:tc>
        <w:tc>
          <w:tcPr>
            <w:tcW w:w="540" w:type="dxa"/>
            <w:vAlign w:val="bottom"/>
            <w:tcBorders>
              <w:bottom w:val="single" w:sz="8" w:color="395796"/>
            </w:tcBorders>
            <w:shd w:val="clear" w:color="auto" w:fill="395796"/>
          </w:tcPr>
          <w:p>
            <w:pPr>
              <w:spacing w:after="0"/>
              <w:rPr>
                <w:sz w:val="2"/>
                <w:szCs w:val="2"/>
                <w:color w:val="auto"/>
              </w:rPr>
            </w:pPr>
          </w:p>
        </w:tc>
        <w:tc>
          <w:tcPr>
            <w:tcW w:w="200" w:type="dxa"/>
            <w:vAlign w:val="bottom"/>
            <w:tcBorders>
              <w:bottom w:val="single" w:sz="8" w:color="395796"/>
            </w:tcBorders>
            <w:gridSpan w:val="2"/>
            <w:vMerge w:val="continue"/>
            <w:shd w:val="clear" w:color="auto" w:fill="395796"/>
          </w:tcPr>
          <w:p>
            <w:pPr>
              <w:spacing w:after="0"/>
              <w:rPr>
                <w:sz w:val="2"/>
                <w:szCs w:val="2"/>
                <w:color w:val="auto"/>
              </w:rPr>
            </w:pPr>
          </w:p>
        </w:tc>
        <w:tc>
          <w:tcPr>
            <w:tcW w:w="1000" w:type="dxa"/>
            <w:vAlign w:val="bottom"/>
            <w:tcBorders>
              <w:bottom w:val="single" w:sz="8" w:color="395796"/>
            </w:tcBorders>
            <w:shd w:val="clear" w:color="auto" w:fill="395796"/>
          </w:tcPr>
          <w:p>
            <w:pPr>
              <w:spacing w:after="0"/>
              <w:rPr>
                <w:sz w:val="2"/>
                <w:szCs w:val="2"/>
                <w:color w:val="auto"/>
              </w:rPr>
            </w:pPr>
          </w:p>
        </w:tc>
        <w:tc>
          <w:tcPr>
            <w:tcW w:w="380" w:type="dxa"/>
            <w:vAlign w:val="bottom"/>
            <w:tcBorders>
              <w:bottom w:val="single" w:sz="8" w:color="395796"/>
            </w:tcBorders>
            <w:gridSpan w:val="2"/>
            <w:vMerge w:val="continue"/>
            <w:shd w:val="clear" w:color="auto" w:fill="395796"/>
          </w:tcPr>
          <w:p>
            <w:pPr>
              <w:spacing w:after="0"/>
              <w:rPr>
                <w:sz w:val="2"/>
                <w:szCs w:val="2"/>
                <w:color w:val="auto"/>
              </w:rPr>
            </w:pPr>
          </w:p>
        </w:tc>
        <w:tc>
          <w:tcPr>
            <w:tcW w:w="820" w:type="dxa"/>
            <w:vAlign w:val="bottom"/>
            <w:tcBorders>
              <w:bottom w:val="single" w:sz="8" w:color="395796"/>
            </w:tcBorders>
            <w:shd w:val="clear" w:color="auto" w:fill="395796"/>
          </w:tcPr>
          <w:p>
            <w:pPr>
              <w:spacing w:after="0"/>
              <w:rPr>
                <w:sz w:val="2"/>
                <w:szCs w:val="2"/>
                <w:color w:val="auto"/>
              </w:rPr>
            </w:pPr>
          </w:p>
        </w:tc>
        <w:tc>
          <w:tcPr>
            <w:tcW w:w="260" w:type="dxa"/>
            <w:vAlign w:val="bottom"/>
            <w:tcBorders>
              <w:bottom w:val="single" w:sz="8" w:color="395796"/>
            </w:tcBorders>
            <w:gridSpan w:val="2"/>
            <w:vMerge w:val="continue"/>
            <w:shd w:val="clear" w:color="auto" w:fill="395796"/>
          </w:tcPr>
          <w:p>
            <w:pPr>
              <w:spacing w:after="0"/>
              <w:rPr>
                <w:sz w:val="2"/>
                <w:szCs w:val="2"/>
                <w:color w:val="auto"/>
              </w:rPr>
            </w:pPr>
          </w:p>
        </w:tc>
        <w:tc>
          <w:tcPr>
            <w:tcW w:w="600" w:type="dxa"/>
            <w:vAlign w:val="bottom"/>
            <w:tcBorders>
              <w:bottom w:val="single" w:sz="8" w:color="395796"/>
            </w:tcBorders>
            <w:shd w:val="clear" w:color="auto" w:fill="395796"/>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900" w:type="dxa"/>
            <w:vAlign w:val="bottom"/>
          </w:tcPr>
          <w:p>
            <w:pPr>
              <w:ind w:left="60"/>
              <w:spacing w:after="0" w:line="122" w:lineRule="exact"/>
              <w:rPr>
                <w:sz w:val="20"/>
                <w:szCs w:val="20"/>
                <w:color w:val="auto"/>
              </w:rPr>
            </w:pPr>
            <w:r>
              <w:rPr>
                <w:rFonts w:ascii="Arial" w:cs="Arial" w:eastAsia="Arial" w:hAnsi="Arial"/>
                <w:sz w:val="14"/>
                <w:szCs w:val="14"/>
                <w:color w:val="auto"/>
              </w:rPr>
              <w:t>​</w:t>
            </w:r>
          </w:p>
        </w:tc>
        <w:tc>
          <w:tcPr>
            <w:tcW w:w="1720" w:type="dxa"/>
            <w:vAlign w:val="bottom"/>
          </w:tcPr>
          <w:p>
            <w:pPr>
              <w:spacing w:after="0"/>
              <w:rPr>
                <w:sz w:val="10"/>
                <w:szCs w:val="10"/>
                <w:color w:val="auto"/>
              </w:rPr>
            </w:pPr>
          </w:p>
        </w:tc>
        <w:tc>
          <w:tcPr>
            <w:tcW w:w="460" w:type="dxa"/>
            <w:vAlign w:val="bottom"/>
            <w:gridSpan w:val="2"/>
          </w:tcPr>
          <w:p>
            <w:pPr>
              <w:spacing w:after="0" w:line="122" w:lineRule="exact"/>
              <w:rPr>
                <w:sz w:val="20"/>
                <w:szCs w:val="20"/>
                <w:color w:val="auto"/>
              </w:rPr>
            </w:pPr>
            <w:r>
              <w:rPr>
                <w:rFonts w:ascii="Arial" w:cs="Arial" w:eastAsia="Arial" w:hAnsi="Arial"/>
                <w:sz w:val="14"/>
                <w:szCs w:val="14"/>
                <w:color w:val="auto"/>
              </w:rPr>
              <w:t>​ ​</w:t>
            </w:r>
          </w:p>
        </w:tc>
        <w:tc>
          <w:tcPr>
            <w:tcW w:w="200" w:type="dxa"/>
            <w:vAlign w:val="bottom"/>
          </w:tcPr>
          <w:p>
            <w:pPr>
              <w:ind w:left="40"/>
              <w:spacing w:after="0" w:line="122" w:lineRule="exact"/>
              <w:rPr>
                <w:sz w:val="20"/>
                <w:szCs w:val="20"/>
                <w:color w:val="auto"/>
              </w:rPr>
            </w:pPr>
            <w:r>
              <w:rPr>
                <w:rFonts w:ascii="Arial" w:cs="Arial" w:eastAsia="Arial" w:hAnsi="Arial"/>
                <w:sz w:val="14"/>
                <w:szCs w:val="14"/>
                <w:color w:val="auto"/>
              </w:rPr>
              <w:t>​ ​</w:t>
            </w:r>
          </w:p>
        </w:tc>
        <w:tc>
          <w:tcPr>
            <w:tcW w:w="520" w:type="dxa"/>
            <w:vAlign w:val="bottom"/>
          </w:tcPr>
          <w:p>
            <w:pPr>
              <w:spacing w:after="0"/>
              <w:rPr>
                <w:sz w:val="10"/>
                <w:szCs w:val="10"/>
                <w:color w:val="auto"/>
              </w:rPr>
            </w:pPr>
          </w:p>
        </w:tc>
        <w:tc>
          <w:tcPr>
            <w:tcW w:w="20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24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540" w:type="dxa"/>
            <w:vAlign w:val="bottom"/>
          </w:tcPr>
          <w:p>
            <w:pPr>
              <w:spacing w:after="0"/>
              <w:rPr>
                <w:sz w:val="10"/>
                <w:szCs w:val="10"/>
                <w:color w:val="auto"/>
              </w:rPr>
            </w:pPr>
          </w:p>
        </w:tc>
        <w:tc>
          <w:tcPr>
            <w:tcW w:w="20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485,185</w:t>
            </w:r>
          </w:p>
        </w:tc>
        <w:tc>
          <w:tcPr>
            <w:tcW w:w="380" w:type="dxa"/>
            <w:vAlign w:val="bottom"/>
            <w:gridSpan w:val="2"/>
          </w:tcPr>
          <w:p>
            <w:pPr>
              <w:jc w:val="right"/>
              <w:ind w:right="108"/>
              <w:spacing w:after="0" w:line="122" w:lineRule="exact"/>
              <w:rPr>
                <w:sz w:val="20"/>
                <w:szCs w:val="20"/>
                <w:color w:val="auto"/>
              </w:rPr>
            </w:pPr>
            <w:r>
              <w:rPr>
                <w:rFonts w:ascii="Arial" w:cs="Arial" w:eastAsia="Arial" w:hAnsi="Arial"/>
                <w:sz w:val="14"/>
                <w:szCs w:val="14"/>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10,500</w:t>
            </w:r>
          </w:p>
        </w:tc>
        <w:tc>
          <w:tcPr>
            <w:tcW w:w="26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 ​</w:t>
            </w:r>
          </w:p>
        </w:tc>
        <w:tc>
          <w:tcPr>
            <w:tcW w:w="600" w:type="dxa"/>
            <w:vAlign w:val="bottom"/>
          </w:tcPr>
          <w:p>
            <w:pPr>
              <w:spacing w:after="0"/>
              <w:rPr>
                <w:sz w:val="10"/>
                <w:szCs w:val="10"/>
                <w:color w:val="auto"/>
              </w:rPr>
            </w:pPr>
          </w:p>
        </w:tc>
        <w:tc>
          <w:tcPr>
            <w:tcW w:w="40" w:type="dxa"/>
            <w:vAlign w:val="bottom"/>
          </w:tcPr>
          <w:p>
            <w:pPr>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9"/>
        </w:trPr>
        <w:tc>
          <w:tcPr>
            <w:tcW w:w="2620" w:type="dxa"/>
            <w:vAlign w:val="bottom"/>
            <w:gridSpan w:val="2"/>
          </w:tcPr>
          <w:p>
            <w:pPr>
              <w:ind w:left="60"/>
              <w:spacing w:after="0" w:line="99" w:lineRule="exact"/>
              <w:rPr>
                <w:sz w:val="20"/>
                <w:szCs w:val="20"/>
                <w:color w:val="auto"/>
              </w:rPr>
            </w:pPr>
            <w:r>
              <w:rPr>
                <w:rFonts w:ascii="Arial" w:cs="Arial" w:eastAsia="Arial" w:hAnsi="Arial"/>
                <w:sz w:val="11"/>
                <w:szCs w:val="11"/>
                <w:color w:val="auto"/>
              </w:rPr>
              <w:t>Brent C. Bruun</w:t>
            </w:r>
          </w:p>
        </w:tc>
        <w:tc>
          <w:tcPr>
            <w:tcW w:w="460" w:type="dxa"/>
            <w:vAlign w:val="bottom"/>
            <w:gridSpan w:val="2"/>
          </w:tcPr>
          <w:p>
            <w:pPr>
              <w:ind w:left="80"/>
              <w:spacing w:after="0" w:line="99" w:lineRule="exact"/>
              <w:rPr>
                <w:sz w:val="20"/>
                <w:szCs w:val="20"/>
                <w:color w:val="auto"/>
              </w:rPr>
            </w:pPr>
            <w:r>
              <w:rPr>
                <w:rFonts w:ascii="Arial" w:cs="Arial" w:eastAsia="Arial" w:hAnsi="Arial"/>
                <w:sz w:val="11"/>
                <w:szCs w:val="11"/>
                <w:color w:val="auto"/>
              </w:rPr>
              <w:t>2025</w:t>
            </w:r>
          </w:p>
        </w:tc>
        <w:tc>
          <w:tcPr>
            <w:tcW w:w="720" w:type="dxa"/>
            <w:vAlign w:val="bottom"/>
            <w:gridSpan w:val="2"/>
          </w:tcPr>
          <w:p>
            <w:pPr>
              <w:jc w:val="right"/>
              <w:spacing w:after="0" w:line="99" w:lineRule="exact"/>
              <w:rPr>
                <w:sz w:val="20"/>
                <w:szCs w:val="20"/>
                <w:color w:val="auto"/>
              </w:rPr>
            </w:pPr>
            <w:r>
              <w:rPr>
                <w:rFonts w:ascii="Arial" w:cs="Arial" w:eastAsia="Arial" w:hAnsi="Arial"/>
                <w:sz w:val="11"/>
                <w:szCs w:val="11"/>
                <w:color w:val="auto"/>
              </w:rPr>
              <w:t>538,810</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tcPr>
          <w:p>
            <w:pPr>
              <w:jc w:val="right"/>
              <w:spacing w:after="0" w:line="99" w:lineRule="exact"/>
              <w:rPr>
                <w:sz w:val="20"/>
                <w:szCs w:val="20"/>
                <w:color w:val="auto"/>
              </w:rPr>
            </w:pPr>
            <w:r>
              <w:rPr>
                <w:rFonts w:ascii="Arial" w:cs="Arial" w:eastAsia="Arial" w:hAnsi="Arial"/>
                <w:sz w:val="11"/>
                <w:szCs w:val="11"/>
                <w:color w:val="auto"/>
              </w:rPr>
              <w:t>425,840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jc w:val="right"/>
              <w:spacing w:after="0" w:line="99" w:lineRule="exact"/>
              <w:rPr>
                <w:sz w:val="20"/>
                <w:szCs w:val="20"/>
                <w:color w:val="auto"/>
              </w:rPr>
            </w:pPr>
            <w:r>
              <w:rPr>
                <w:rFonts w:ascii="Arial" w:cs="Arial" w:eastAsia="Arial" w:hAnsi="Arial"/>
                <w:sz w:val="11"/>
                <w:szCs w:val="11"/>
                <w:color w:val="auto"/>
              </w:rPr>
              <w:t>1,461,335</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ind w:left="60"/>
              <w:spacing w:after="0" w:line="145" w:lineRule="exact"/>
              <w:rPr>
                <w:sz w:val="20"/>
                <w:szCs w:val="20"/>
                <w:color w:val="auto"/>
              </w:rPr>
            </w:pPr>
            <w:r>
              <w:rPr>
                <w:rFonts w:ascii="Arial" w:cs="Arial" w:eastAsia="Arial" w:hAnsi="Arial"/>
                <w:sz w:val="14"/>
                <w:szCs w:val="14"/>
                <w:color w:val="auto"/>
              </w:rPr>
              <w:t>President and Chief Executive Officer</w:t>
            </w:r>
          </w:p>
        </w:tc>
        <w:tc>
          <w:tcPr>
            <w:tcW w:w="80" w:type="dxa"/>
            <w:vAlign w:val="bottom"/>
          </w:tcPr>
          <w:p>
            <w:pPr>
              <w:spacing w:after="0"/>
              <w:rPr>
                <w:sz w:val="12"/>
                <w:szCs w:val="12"/>
                <w:color w:val="auto"/>
              </w:rPr>
            </w:pPr>
          </w:p>
        </w:tc>
        <w:tc>
          <w:tcPr>
            <w:tcW w:w="38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45" w:lineRule="exact"/>
              <w:rPr>
                <w:sz w:val="20"/>
                <w:szCs w:val="20"/>
                <w:color w:val="auto"/>
              </w:rPr>
            </w:pPr>
            <w:r>
              <w:rPr>
                <w:rFonts w:ascii="Arial" w:cs="Arial" w:eastAsia="Arial" w:hAnsi="Arial"/>
                <w:sz w:val="14"/>
                <w:szCs w:val="14"/>
                <w:color w:val="auto"/>
              </w:rPr>
              <w:t>​ ​</w:t>
            </w:r>
          </w:p>
        </w:tc>
        <w:tc>
          <w:tcPr>
            <w:tcW w:w="520" w:type="dxa"/>
            <w:vAlign w:val="bottom"/>
          </w:tcPr>
          <w:p>
            <w:pPr>
              <w:spacing w:after="0"/>
              <w:rPr>
                <w:sz w:val="12"/>
                <w:szCs w:val="12"/>
                <w:color w:val="auto"/>
              </w:rPr>
            </w:pPr>
          </w:p>
        </w:tc>
        <w:tc>
          <w:tcPr>
            <w:tcW w:w="120" w:type="dxa"/>
            <w:vAlign w:val="bottom"/>
          </w:tcPr>
          <w:p>
            <w:pPr>
              <w:ind w:left="4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14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14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4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297,295</w:t>
            </w:r>
          </w:p>
        </w:tc>
        <w:tc>
          <w:tcPr>
            <w:tcW w:w="14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108"/>
              <w:spacing w:after="0" w:line="145" w:lineRule="exact"/>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10,350</w:t>
            </w:r>
          </w:p>
        </w:tc>
        <w:tc>
          <w:tcPr>
            <w:tcW w:w="140" w:type="dxa"/>
            <w:vAlign w:val="bottom"/>
          </w:tcPr>
          <w:p>
            <w:pPr>
              <w:ind w:left="60"/>
              <w:spacing w:after="0" w:line="145"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40" w:type="dxa"/>
            <w:vAlign w:val="bottom"/>
          </w:tcPr>
          <w:p>
            <w:pPr>
              <w:spacing w:after="0" w:line="14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60" w:type="dxa"/>
            <w:vAlign w:val="bottom"/>
            <w:gridSpan w:val="2"/>
          </w:tcPr>
          <w:p>
            <w:pPr>
              <w:ind w:left="80"/>
              <w:spacing w:after="0" w:line="122" w:lineRule="exact"/>
              <w:rPr>
                <w:sz w:val="20"/>
                <w:szCs w:val="20"/>
                <w:color w:val="auto"/>
              </w:rPr>
            </w:pPr>
            <w:r>
              <w:rPr>
                <w:rFonts w:ascii="Arial" w:cs="Arial" w:eastAsia="Arial" w:hAnsi="Arial"/>
                <w:sz w:val="14"/>
                <w:szCs w:val="14"/>
                <w:color w:val="auto"/>
              </w:rPr>
              <w:t>2024</w:t>
            </w:r>
          </w:p>
        </w:tc>
        <w:tc>
          <w:tcPr>
            <w:tcW w:w="7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528,133</w:t>
            </w:r>
          </w:p>
        </w:tc>
        <w:tc>
          <w:tcPr>
            <w:tcW w:w="120" w:type="dxa"/>
            <w:vAlign w:val="bottom"/>
          </w:tcPr>
          <w:p>
            <w:pPr>
              <w:spacing w:after="0"/>
              <w:rPr>
                <w:sz w:val="10"/>
                <w:szCs w:val="10"/>
                <w:color w:val="auto"/>
              </w:rPr>
            </w:pPr>
          </w:p>
        </w:tc>
        <w:tc>
          <w:tcPr>
            <w:tcW w:w="60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119,727</w:t>
            </w:r>
          </w:p>
        </w:tc>
        <w:tc>
          <w:tcPr>
            <w:tcW w:w="14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118,698</w:t>
            </w:r>
          </w:p>
        </w:tc>
        <w:tc>
          <w:tcPr>
            <w:tcW w:w="14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125,147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spacing w:after="0" w:line="122" w:lineRule="exact"/>
              <w:rPr>
                <w:sz w:val="20"/>
                <w:szCs w:val="20"/>
                <w:color w:val="auto"/>
              </w:rPr>
            </w:pPr>
            <w:r>
              <w:rPr>
                <w:rFonts w:ascii="Arial" w:cs="Arial" w:eastAsia="Arial" w:hAnsi="Arial"/>
                <w:sz w:val="14"/>
                <w:szCs w:val="14"/>
                <w:color w:val="auto"/>
              </w:rPr>
              <w:t>1,199,350</w:t>
            </w: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900" w:type="dxa"/>
            <w:vAlign w:val="bottom"/>
            <w:shd w:val="clear" w:color="auto" w:fill="D8D8D8"/>
          </w:tcPr>
          <w:p>
            <w:pPr>
              <w:ind w:left="60"/>
              <w:spacing w:after="0" w:line="122" w:lineRule="exact"/>
              <w:rPr>
                <w:sz w:val="20"/>
                <w:szCs w:val="20"/>
                <w:color w:val="auto"/>
              </w:rPr>
            </w:pPr>
            <w:r>
              <w:rPr>
                <w:rFonts w:ascii="Arial" w:cs="Arial" w:eastAsia="Arial" w:hAnsi="Arial"/>
                <w:sz w:val="14"/>
                <w:szCs w:val="14"/>
                <w:color w:val="auto"/>
              </w:rPr>
              <w:t>​</w:t>
            </w:r>
          </w:p>
        </w:tc>
        <w:tc>
          <w:tcPr>
            <w:tcW w:w="1720" w:type="dxa"/>
            <w:vAlign w:val="bottom"/>
            <w:shd w:val="clear" w:color="auto" w:fill="D8D8D8"/>
          </w:tcPr>
          <w:p>
            <w:pPr>
              <w:spacing w:after="0"/>
              <w:rPr>
                <w:sz w:val="10"/>
                <w:szCs w:val="10"/>
                <w:color w:val="auto"/>
              </w:rPr>
            </w:pPr>
          </w:p>
        </w:tc>
        <w:tc>
          <w:tcPr>
            <w:tcW w:w="80" w:type="dxa"/>
            <w:vAlign w:val="bottom"/>
            <w:shd w:val="clear" w:color="auto" w:fill="D8D8D8"/>
          </w:tcPr>
          <w:p>
            <w:pPr>
              <w:spacing w:after="0" w:line="122" w:lineRule="exact"/>
              <w:rPr>
                <w:sz w:val="20"/>
                <w:szCs w:val="20"/>
                <w:color w:val="auto"/>
              </w:rPr>
            </w:pPr>
            <w:r>
              <w:rPr>
                <w:rFonts w:ascii="Arial" w:cs="Arial" w:eastAsia="Arial" w:hAnsi="Arial"/>
                <w:sz w:val="14"/>
                <w:szCs w:val="14"/>
                <w:color w:val="auto"/>
              </w:rPr>
              <w:t>​</w:t>
            </w:r>
          </w:p>
        </w:tc>
        <w:tc>
          <w:tcPr>
            <w:tcW w:w="380" w:type="dxa"/>
            <w:vAlign w:val="bottom"/>
            <w:shd w:val="clear" w:color="auto" w:fill="D8D8D8"/>
          </w:tcPr>
          <w:p>
            <w:pPr>
              <w:spacing w:after="0" w:line="122" w:lineRule="exact"/>
              <w:rPr>
                <w:sz w:val="20"/>
                <w:szCs w:val="20"/>
                <w:color w:val="auto"/>
              </w:rPr>
            </w:pPr>
            <w:r>
              <w:rPr>
                <w:rFonts w:ascii="Arial" w:cs="Arial" w:eastAsia="Arial" w:hAnsi="Arial"/>
                <w:sz w:val="14"/>
                <w:szCs w:val="14"/>
                <w:color w:val="auto"/>
              </w:rPr>
              <w:t>​</w:t>
            </w:r>
          </w:p>
        </w:tc>
        <w:tc>
          <w:tcPr>
            <w:tcW w:w="200" w:type="dxa"/>
            <w:vAlign w:val="bottom"/>
            <w:shd w:val="clear" w:color="auto" w:fill="D8D8D8"/>
          </w:tcPr>
          <w:p>
            <w:pPr>
              <w:ind w:left="40"/>
              <w:spacing w:after="0" w:line="122" w:lineRule="exact"/>
              <w:rPr>
                <w:sz w:val="20"/>
                <w:szCs w:val="20"/>
                <w:color w:val="auto"/>
              </w:rPr>
            </w:pPr>
            <w:r>
              <w:rPr>
                <w:rFonts w:ascii="Arial" w:cs="Arial" w:eastAsia="Arial" w:hAnsi="Arial"/>
                <w:sz w:val="14"/>
                <w:szCs w:val="14"/>
                <w:color w:val="auto"/>
              </w:rPr>
              <w:t>​ ​</w:t>
            </w:r>
          </w:p>
        </w:tc>
        <w:tc>
          <w:tcPr>
            <w:tcW w:w="520" w:type="dxa"/>
            <w:vAlign w:val="bottom"/>
            <w:shd w:val="clear" w:color="auto" w:fill="D8D8D8"/>
          </w:tcPr>
          <w:p>
            <w:pPr>
              <w:spacing w:after="0"/>
              <w:rPr>
                <w:sz w:val="10"/>
                <w:szCs w:val="10"/>
                <w:color w:val="auto"/>
              </w:rPr>
            </w:pPr>
          </w:p>
        </w:tc>
        <w:tc>
          <w:tcPr>
            <w:tcW w:w="200" w:type="dxa"/>
            <w:vAlign w:val="bottom"/>
            <w:gridSpan w:val="2"/>
            <w:shd w:val="clear" w:color="auto" w:fill="D8D8D8"/>
          </w:tcPr>
          <w:p>
            <w:pPr>
              <w:jc w:val="right"/>
              <w:spacing w:after="0" w:line="122" w:lineRule="exact"/>
              <w:rPr>
                <w:sz w:val="20"/>
                <w:szCs w:val="20"/>
                <w:color w:val="auto"/>
              </w:rPr>
            </w:pPr>
            <w:r>
              <w:rPr>
                <w:rFonts w:ascii="Arial" w:cs="Arial" w:eastAsia="Arial" w:hAnsi="Arial"/>
                <w:sz w:val="14"/>
                <w:szCs w:val="14"/>
                <w:color w:val="auto"/>
              </w:rPr>
              <w:t>​ ​</w:t>
            </w:r>
          </w:p>
        </w:tc>
        <w:tc>
          <w:tcPr>
            <w:tcW w:w="5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1,000</w:t>
            </w:r>
          </w:p>
        </w:tc>
        <w:tc>
          <w:tcPr>
            <w:tcW w:w="240" w:type="dxa"/>
            <w:vAlign w:val="bottom"/>
            <w:gridSpan w:val="2"/>
            <w:shd w:val="clear" w:color="auto" w:fill="D8D8D8"/>
          </w:tcPr>
          <w:p>
            <w:pPr>
              <w:jc w:val="right"/>
              <w:spacing w:after="0" w:line="122" w:lineRule="exact"/>
              <w:rPr>
                <w:sz w:val="20"/>
                <w:szCs w:val="20"/>
                <w:color w:val="auto"/>
              </w:rPr>
            </w:pPr>
            <w:r>
              <w:rPr>
                <w:rFonts w:ascii="Arial" w:cs="Arial" w:eastAsia="Arial" w:hAnsi="Arial"/>
                <w:sz w:val="14"/>
                <w:szCs w:val="14"/>
                <w:color w:val="auto"/>
              </w:rPr>
              <w:t>​ ​</w:t>
            </w:r>
          </w:p>
        </w:tc>
        <w:tc>
          <w:tcPr>
            <w:tcW w:w="5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D8D8D8"/>
          </w:tcPr>
          <w:p>
            <w:pPr>
              <w:jc w:val="right"/>
              <w:spacing w:after="0" w:line="122" w:lineRule="exact"/>
              <w:rPr>
                <w:sz w:val="20"/>
                <w:szCs w:val="20"/>
                <w:color w:val="auto"/>
              </w:rPr>
            </w:pPr>
            <w:r>
              <w:rPr>
                <w:rFonts w:ascii="Arial" w:cs="Arial" w:eastAsia="Arial" w:hAnsi="Arial"/>
                <w:sz w:val="14"/>
                <w:szCs w:val="14"/>
                <w:color w:val="auto"/>
              </w:rPr>
              <w:t>​ ​</w:t>
            </w:r>
          </w:p>
        </w:tc>
        <w:tc>
          <w:tcPr>
            <w:tcW w:w="540" w:type="dxa"/>
            <w:vAlign w:val="bottom"/>
            <w:shd w:val="clear" w:color="auto" w:fill="D8D8D8"/>
          </w:tcPr>
          <w:p>
            <w:pPr>
              <w:spacing w:after="0"/>
              <w:rPr>
                <w:sz w:val="10"/>
                <w:szCs w:val="10"/>
                <w:color w:val="auto"/>
              </w:rPr>
            </w:pPr>
          </w:p>
        </w:tc>
        <w:tc>
          <w:tcPr>
            <w:tcW w:w="200" w:type="dxa"/>
            <w:vAlign w:val="bottom"/>
            <w:gridSpan w:val="2"/>
            <w:shd w:val="clear" w:color="auto" w:fill="D8D8D8"/>
          </w:tcPr>
          <w:p>
            <w:pPr>
              <w:jc w:val="right"/>
              <w:spacing w:after="0" w:line="122" w:lineRule="exact"/>
              <w:rPr>
                <w:sz w:val="20"/>
                <w:szCs w:val="20"/>
                <w:color w:val="auto"/>
              </w:rPr>
            </w:pPr>
            <w:r>
              <w:rPr>
                <w:rFonts w:ascii="Arial" w:cs="Arial" w:eastAsia="Arial" w:hAnsi="Arial"/>
                <w:sz w:val="14"/>
                <w:szCs w:val="14"/>
                <w:color w:val="auto"/>
              </w:rPr>
              <w:t>​ ​</w:t>
            </w:r>
          </w:p>
        </w:tc>
        <w:tc>
          <w:tcPr>
            <w:tcW w:w="10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171,891</w:t>
            </w:r>
          </w:p>
        </w:tc>
        <w:tc>
          <w:tcPr>
            <w:tcW w:w="380" w:type="dxa"/>
            <w:vAlign w:val="bottom"/>
            <w:gridSpan w:val="2"/>
            <w:shd w:val="clear" w:color="auto" w:fill="D8D8D8"/>
          </w:tcPr>
          <w:p>
            <w:pPr>
              <w:jc w:val="right"/>
              <w:ind w:right="108"/>
              <w:spacing w:after="0" w:line="122" w:lineRule="exact"/>
              <w:rPr>
                <w:sz w:val="20"/>
                <w:szCs w:val="20"/>
                <w:color w:val="auto"/>
              </w:rPr>
            </w:pPr>
            <w:r>
              <w:rPr>
                <w:rFonts w:ascii="Arial" w:cs="Arial" w:eastAsia="Arial" w:hAnsi="Arial"/>
                <w:sz w:val="14"/>
                <w:szCs w:val="14"/>
                <w:color w:val="auto"/>
              </w:rPr>
              <w:t>​ ​</w:t>
            </w:r>
          </w:p>
        </w:tc>
        <w:tc>
          <w:tcPr>
            <w:tcW w:w="8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9,421</w:t>
            </w:r>
          </w:p>
        </w:tc>
        <w:tc>
          <w:tcPr>
            <w:tcW w:w="260" w:type="dxa"/>
            <w:vAlign w:val="bottom"/>
            <w:gridSpan w:val="2"/>
            <w:shd w:val="clear" w:color="auto" w:fill="D8D8D8"/>
          </w:tcPr>
          <w:p>
            <w:pPr>
              <w:jc w:val="right"/>
              <w:spacing w:after="0" w:line="122" w:lineRule="exact"/>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696,248</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620" w:type="dxa"/>
            <w:vAlign w:val="bottom"/>
            <w:gridSpan w:val="2"/>
            <w:shd w:val="clear" w:color="auto" w:fill="D8D8D8"/>
          </w:tcPr>
          <w:p>
            <w:pPr>
              <w:ind w:left="60"/>
              <w:spacing w:after="0" w:line="99" w:lineRule="exact"/>
              <w:rPr>
                <w:sz w:val="20"/>
                <w:szCs w:val="20"/>
                <w:color w:val="auto"/>
              </w:rPr>
            </w:pPr>
            <w:r>
              <w:rPr>
                <w:rFonts w:ascii="Arial" w:cs="Arial" w:eastAsia="Arial" w:hAnsi="Arial"/>
                <w:sz w:val="11"/>
                <w:szCs w:val="11"/>
                <w:color w:val="auto"/>
              </w:rPr>
              <w:t>Felise B. Feingold</w:t>
            </w:r>
          </w:p>
        </w:tc>
        <w:tc>
          <w:tcPr>
            <w:tcW w:w="80" w:type="dxa"/>
            <w:vAlign w:val="bottom"/>
            <w:shd w:val="clear" w:color="auto" w:fill="D8D8D8"/>
          </w:tcPr>
          <w:p>
            <w:pPr>
              <w:spacing w:after="0"/>
              <w:rPr>
                <w:sz w:val="8"/>
                <w:szCs w:val="8"/>
                <w:color w:val="auto"/>
              </w:rPr>
            </w:pPr>
          </w:p>
        </w:tc>
        <w:tc>
          <w:tcPr>
            <w:tcW w:w="380" w:type="dxa"/>
            <w:vAlign w:val="bottom"/>
            <w:shd w:val="clear" w:color="auto" w:fill="D8D8D8"/>
          </w:tcPr>
          <w:p>
            <w:pPr>
              <w:spacing w:after="0" w:line="99" w:lineRule="exact"/>
              <w:rPr>
                <w:sz w:val="20"/>
                <w:szCs w:val="20"/>
                <w:color w:val="auto"/>
              </w:rPr>
            </w:pPr>
            <w:r>
              <w:rPr>
                <w:rFonts w:ascii="Arial" w:cs="Arial" w:eastAsia="Arial" w:hAnsi="Arial"/>
                <w:sz w:val="11"/>
                <w:szCs w:val="11"/>
                <w:color w:val="auto"/>
              </w:rPr>
              <w:t>2025</w:t>
            </w:r>
          </w:p>
        </w:tc>
        <w:tc>
          <w:tcPr>
            <w:tcW w:w="720" w:type="dxa"/>
            <w:vAlign w:val="bottom"/>
            <w:gridSpan w:val="2"/>
            <w:shd w:val="clear" w:color="auto" w:fill="D8D8D8"/>
          </w:tcPr>
          <w:p>
            <w:pPr>
              <w:jc w:val="right"/>
              <w:spacing w:after="0" w:line="99" w:lineRule="exact"/>
              <w:rPr>
                <w:sz w:val="20"/>
                <w:szCs w:val="20"/>
                <w:color w:val="auto"/>
              </w:rPr>
            </w:pPr>
            <w:r>
              <w:rPr>
                <w:rFonts w:ascii="Arial" w:cs="Arial" w:eastAsia="Arial" w:hAnsi="Arial"/>
                <w:sz w:val="11"/>
                <w:szCs w:val="11"/>
                <w:color w:val="auto"/>
              </w:rPr>
              <w:t>343,600</w:t>
            </w:r>
          </w:p>
        </w:tc>
        <w:tc>
          <w:tcPr>
            <w:tcW w:w="120" w:type="dxa"/>
            <w:vAlign w:val="bottom"/>
            <w:shd w:val="clear" w:color="auto" w:fill="D8D8D8"/>
          </w:tcPr>
          <w:p>
            <w:pPr>
              <w:spacing w:after="0"/>
              <w:rPr>
                <w:sz w:val="8"/>
                <w:szCs w:val="8"/>
                <w:color w:val="auto"/>
              </w:rPr>
            </w:pPr>
          </w:p>
        </w:tc>
        <w:tc>
          <w:tcPr>
            <w:tcW w:w="80" w:type="dxa"/>
            <w:vAlign w:val="bottom"/>
            <w:shd w:val="clear" w:color="auto" w:fill="D8D8D8"/>
          </w:tcPr>
          <w:p>
            <w:pPr>
              <w:spacing w:after="0"/>
              <w:rPr>
                <w:sz w:val="8"/>
                <w:szCs w:val="8"/>
                <w:color w:val="auto"/>
              </w:rPr>
            </w:pPr>
          </w:p>
        </w:tc>
        <w:tc>
          <w:tcPr>
            <w:tcW w:w="520" w:type="dxa"/>
            <w:vAlign w:val="bottom"/>
            <w:vMerge w:val="continue"/>
            <w:shd w:val="clear" w:color="auto" w:fill="D8D8D8"/>
          </w:tcPr>
          <w:p>
            <w:pPr>
              <w:spacing w:after="0"/>
              <w:rPr>
                <w:sz w:val="8"/>
                <w:szCs w:val="8"/>
                <w:color w:val="auto"/>
              </w:rPr>
            </w:pPr>
          </w:p>
        </w:tc>
        <w:tc>
          <w:tcPr>
            <w:tcW w:w="140" w:type="dxa"/>
            <w:vAlign w:val="bottom"/>
            <w:shd w:val="clear" w:color="auto" w:fill="D8D8D8"/>
          </w:tcPr>
          <w:p>
            <w:pPr>
              <w:spacing w:after="0"/>
              <w:rPr>
                <w:sz w:val="8"/>
                <w:szCs w:val="8"/>
                <w:color w:val="auto"/>
              </w:rPr>
            </w:pPr>
          </w:p>
        </w:tc>
        <w:tc>
          <w:tcPr>
            <w:tcW w:w="100" w:type="dxa"/>
            <w:vAlign w:val="bottom"/>
            <w:shd w:val="clear" w:color="auto" w:fill="D8D8D8"/>
          </w:tcPr>
          <w:p>
            <w:pPr>
              <w:spacing w:after="0"/>
              <w:rPr>
                <w:sz w:val="8"/>
                <w:szCs w:val="8"/>
                <w:color w:val="auto"/>
              </w:rPr>
            </w:pPr>
          </w:p>
        </w:tc>
        <w:tc>
          <w:tcPr>
            <w:tcW w:w="520" w:type="dxa"/>
            <w:vAlign w:val="bottom"/>
            <w:vMerge w:val="continue"/>
            <w:shd w:val="clear" w:color="auto" w:fill="D8D8D8"/>
          </w:tcPr>
          <w:p>
            <w:pPr>
              <w:spacing w:after="0"/>
              <w:rPr>
                <w:sz w:val="8"/>
                <w:szCs w:val="8"/>
                <w:color w:val="auto"/>
              </w:rPr>
            </w:pPr>
          </w:p>
        </w:tc>
        <w:tc>
          <w:tcPr>
            <w:tcW w:w="140" w:type="dxa"/>
            <w:vAlign w:val="bottom"/>
            <w:shd w:val="clear" w:color="auto" w:fill="D8D8D8"/>
          </w:tcPr>
          <w:p>
            <w:pPr>
              <w:spacing w:after="0"/>
              <w:rPr>
                <w:sz w:val="8"/>
                <w:szCs w:val="8"/>
                <w:color w:val="auto"/>
              </w:rPr>
            </w:pPr>
          </w:p>
        </w:tc>
        <w:tc>
          <w:tcPr>
            <w:tcW w:w="620" w:type="dxa"/>
            <w:vAlign w:val="bottom"/>
            <w:gridSpan w:val="2"/>
            <w:shd w:val="clear" w:color="auto" w:fill="D8D8D8"/>
          </w:tcPr>
          <w:p>
            <w:pPr>
              <w:jc w:val="right"/>
              <w:spacing w:after="0" w:line="99" w:lineRule="exact"/>
              <w:rPr>
                <w:sz w:val="20"/>
                <w:szCs w:val="20"/>
                <w:color w:val="auto"/>
              </w:rPr>
            </w:pPr>
            <w:r>
              <w:rPr>
                <w:rFonts w:ascii="Arial" w:cs="Arial" w:eastAsia="Arial" w:hAnsi="Arial"/>
                <w:sz w:val="11"/>
                <w:szCs w:val="11"/>
                <w:color w:val="auto"/>
              </w:rPr>
              <w:t>170,336</w:t>
            </w:r>
          </w:p>
        </w:tc>
        <w:tc>
          <w:tcPr>
            <w:tcW w:w="140" w:type="dxa"/>
            <w:vAlign w:val="bottom"/>
            <w:shd w:val="clear" w:color="auto" w:fill="D8D8D8"/>
          </w:tcPr>
          <w:p>
            <w:pPr>
              <w:spacing w:after="0"/>
              <w:rPr>
                <w:sz w:val="8"/>
                <w:szCs w:val="8"/>
                <w:color w:val="auto"/>
              </w:rPr>
            </w:pPr>
          </w:p>
        </w:tc>
        <w:tc>
          <w:tcPr>
            <w:tcW w:w="60" w:type="dxa"/>
            <w:vAlign w:val="bottom"/>
            <w:shd w:val="clear" w:color="auto" w:fill="D8D8D8"/>
          </w:tcPr>
          <w:p>
            <w:pPr>
              <w:spacing w:after="0"/>
              <w:rPr>
                <w:sz w:val="8"/>
                <w:szCs w:val="8"/>
                <w:color w:val="auto"/>
              </w:rPr>
            </w:pPr>
          </w:p>
        </w:tc>
        <w:tc>
          <w:tcPr>
            <w:tcW w:w="1000" w:type="dxa"/>
            <w:vAlign w:val="bottom"/>
            <w:vMerge w:val="continue"/>
            <w:shd w:val="clear" w:color="auto" w:fill="D8D8D8"/>
          </w:tcPr>
          <w:p>
            <w:pPr>
              <w:spacing w:after="0"/>
              <w:rPr>
                <w:sz w:val="8"/>
                <w:szCs w:val="8"/>
                <w:color w:val="auto"/>
              </w:rPr>
            </w:pPr>
          </w:p>
        </w:tc>
        <w:tc>
          <w:tcPr>
            <w:tcW w:w="140" w:type="dxa"/>
            <w:vAlign w:val="bottom"/>
            <w:shd w:val="clear" w:color="auto" w:fill="D8D8D8"/>
          </w:tcPr>
          <w:p>
            <w:pPr>
              <w:spacing w:after="0"/>
              <w:rPr>
                <w:sz w:val="8"/>
                <w:szCs w:val="8"/>
                <w:color w:val="auto"/>
              </w:rPr>
            </w:pPr>
          </w:p>
        </w:tc>
        <w:tc>
          <w:tcPr>
            <w:tcW w:w="240" w:type="dxa"/>
            <w:vAlign w:val="bottom"/>
            <w:shd w:val="clear" w:color="auto" w:fill="D8D8D8"/>
          </w:tcPr>
          <w:p>
            <w:pPr>
              <w:spacing w:after="0"/>
              <w:rPr>
                <w:sz w:val="8"/>
                <w:szCs w:val="8"/>
                <w:color w:val="auto"/>
              </w:rPr>
            </w:pPr>
          </w:p>
        </w:tc>
        <w:tc>
          <w:tcPr>
            <w:tcW w:w="820" w:type="dxa"/>
            <w:vAlign w:val="bottom"/>
            <w:vMerge w:val="continue"/>
            <w:shd w:val="clear" w:color="auto" w:fill="D8D8D8"/>
          </w:tcPr>
          <w:p>
            <w:pPr>
              <w:spacing w:after="0"/>
              <w:rPr>
                <w:sz w:val="8"/>
                <w:szCs w:val="8"/>
                <w:color w:val="auto"/>
              </w:rPr>
            </w:pPr>
          </w:p>
        </w:tc>
        <w:tc>
          <w:tcPr>
            <w:tcW w:w="140" w:type="dxa"/>
            <w:vAlign w:val="bottom"/>
            <w:shd w:val="clear" w:color="auto" w:fill="D8D8D8"/>
          </w:tcPr>
          <w:p>
            <w:pPr>
              <w:spacing w:after="0"/>
              <w:rPr>
                <w:sz w:val="8"/>
                <w:szCs w:val="8"/>
                <w:color w:val="auto"/>
              </w:rPr>
            </w:pPr>
          </w:p>
        </w:tc>
        <w:tc>
          <w:tcPr>
            <w:tcW w:w="120" w:type="dxa"/>
            <w:vAlign w:val="bottom"/>
            <w:shd w:val="clear" w:color="auto" w:fill="D8D8D8"/>
          </w:tcPr>
          <w:p>
            <w:pPr>
              <w:spacing w:after="0"/>
              <w:rPr>
                <w:sz w:val="8"/>
                <w:szCs w:val="8"/>
                <w:color w:val="auto"/>
              </w:rPr>
            </w:pPr>
          </w:p>
        </w:tc>
        <w:tc>
          <w:tcPr>
            <w:tcW w:w="600" w:type="dxa"/>
            <w:vAlign w:val="bottom"/>
            <w:vMerge w:val="continue"/>
            <w:shd w:val="clear" w:color="auto" w:fill="D8D8D8"/>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620" w:type="dxa"/>
            <w:vAlign w:val="bottom"/>
            <w:gridSpan w:val="2"/>
            <w:shd w:val="clear" w:color="auto" w:fill="D8D8D8"/>
          </w:tcPr>
          <w:p>
            <w:pPr>
              <w:ind w:left="60"/>
              <w:spacing w:after="0" w:line="158" w:lineRule="exact"/>
              <w:rPr>
                <w:sz w:val="20"/>
                <w:szCs w:val="20"/>
                <w:color w:val="auto"/>
              </w:rPr>
            </w:pPr>
            <w:r>
              <w:rPr>
                <w:rFonts w:ascii="Arial" w:cs="Arial" w:eastAsia="Arial" w:hAnsi="Arial"/>
                <w:sz w:val="14"/>
                <w:szCs w:val="14"/>
                <w:color w:val="auto"/>
              </w:rPr>
              <w:t>SVP, General Counsel</w:t>
            </w:r>
          </w:p>
        </w:tc>
        <w:tc>
          <w:tcPr>
            <w:tcW w:w="80" w:type="dxa"/>
            <w:vAlign w:val="bottom"/>
            <w:shd w:val="clear" w:color="auto" w:fill="D8D8D8"/>
          </w:tcPr>
          <w:p>
            <w:pPr>
              <w:spacing w:after="0"/>
              <w:rPr>
                <w:sz w:val="13"/>
                <w:szCs w:val="13"/>
                <w:color w:val="auto"/>
              </w:rPr>
            </w:pPr>
          </w:p>
        </w:tc>
        <w:tc>
          <w:tcPr>
            <w:tcW w:w="380" w:type="dxa"/>
            <w:vAlign w:val="bottom"/>
            <w:shd w:val="clear" w:color="auto" w:fill="D8D8D8"/>
          </w:tcPr>
          <w:p>
            <w:pPr>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D8D8D8"/>
          </w:tcPr>
          <w:p>
            <w:pPr>
              <w:ind w:left="40"/>
              <w:spacing w:after="0" w:line="158" w:lineRule="exact"/>
              <w:rPr>
                <w:sz w:val="20"/>
                <w:szCs w:val="20"/>
                <w:color w:val="auto"/>
              </w:rPr>
            </w:pPr>
            <w:r>
              <w:rPr>
                <w:rFonts w:ascii="Arial" w:cs="Arial" w:eastAsia="Arial" w:hAnsi="Arial"/>
                <w:sz w:val="14"/>
                <w:szCs w:val="14"/>
                <w:color w:val="auto"/>
              </w:rPr>
              <w:t>​ ​</w:t>
            </w:r>
          </w:p>
        </w:tc>
        <w:tc>
          <w:tcPr>
            <w:tcW w:w="520" w:type="dxa"/>
            <w:vAlign w:val="bottom"/>
            <w:shd w:val="clear" w:color="auto" w:fill="D8D8D8"/>
          </w:tcPr>
          <w:p>
            <w:pPr>
              <w:spacing w:after="0"/>
              <w:rPr>
                <w:sz w:val="13"/>
                <w:szCs w:val="13"/>
                <w:color w:val="auto"/>
              </w:rPr>
            </w:pPr>
          </w:p>
        </w:tc>
        <w:tc>
          <w:tcPr>
            <w:tcW w:w="120" w:type="dxa"/>
            <w:vAlign w:val="bottom"/>
            <w:shd w:val="clear" w:color="auto" w:fill="D8D8D8"/>
          </w:tcPr>
          <w:p>
            <w:pPr>
              <w:ind w:left="4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D8D8D8"/>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43,535</w:t>
            </w:r>
          </w:p>
        </w:tc>
        <w:tc>
          <w:tcPr>
            <w:tcW w:w="140" w:type="dxa"/>
            <w:vAlign w:val="bottom"/>
            <w:shd w:val="clear" w:color="auto" w:fill="D8D8D8"/>
          </w:tcPr>
          <w:p>
            <w:pPr>
              <w:ind w:left="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D8D8D8"/>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61,874</w:t>
            </w:r>
          </w:p>
        </w:tc>
        <w:tc>
          <w:tcPr>
            <w:tcW w:w="140" w:type="dxa"/>
            <w:vAlign w:val="bottom"/>
            <w:shd w:val="clear" w:color="auto" w:fill="D8D8D8"/>
          </w:tcPr>
          <w:p>
            <w:pPr>
              <w:ind w:left="6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D8D8D8"/>
          </w:tcPr>
          <w:p>
            <w:pPr>
              <w:jc w:val="right"/>
              <w:spacing w:after="0" w:line="158" w:lineRule="exact"/>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65,234</w:t>
            </w:r>
          </w:p>
        </w:tc>
        <w:tc>
          <w:tcPr>
            <w:tcW w:w="140" w:type="dxa"/>
            <w:vAlign w:val="bottom"/>
            <w:shd w:val="clear" w:color="auto" w:fill="D8D8D8"/>
          </w:tcPr>
          <w:p>
            <w:pPr>
              <w:ind w:left="6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D8D8D8"/>
          </w:tcPr>
          <w:p>
            <w:pPr>
              <w:jc w:val="right"/>
              <w:spacing w:after="0" w:line="158" w:lineRule="exact"/>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105,325</w:t>
            </w:r>
          </w:p>
        </w:tc>
        <w:tc>
          <w:tcPr>
            <w:tcW w:w="140" w:type="dxa"/>
            <w:vAlign w:val="bottom"/>
            <w:shd w:val="clear" w:color="auto" w:fill="D8D8D8"/>
          </w:tcPr>
          <w:p>
            <w:pPr>
              <w:ind w:left="6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D8D8D8"/>
          </w:tcPr>
          <w:p>
            <w:pPr>
              <w:jc w:val="right"/>
              <w:ind w:right="108"/>
              <w:spacing w:after="0" w:line="158" w:lineRule="exact"/>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10,104</w:t>
            </w:r>
          </w:p>
        </w:tc>
        <w:tc>
          <w:tcPr>
            <w:tcW w:w="140" w:type="dxa"/>
            <w:vAlign w:val="bottom"/>
            <w:shd w:val="clear" w:color="auto" w:fill="D8D8D8"/>
          </w:tcPr>
          <w:p>
            <w:pPr>
              <w:ind w:left="6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D8D8D8"/>
          </w:tcPr>
          <w:p>
            <w:pPr>
              <w:jc w:val="right"/>
              <w:spacing w:after="0" w:line="158" w:lineRule="exact"/>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622,863</w:t>
            </w:r>
          </w:p>
        </w:tc>
        <w:tc>
          <w:tcPr>
            <w:tcW w:w="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900" w:type="dxa"/>
            <w:vAlign w:val="bottom"/>
            <w:shd w:val="clear" w:color="auto" w:fill="D8D8D8"/>
          </w:tcPr>
          <w:p>
            <w:pPr>
              <w:spacing w:after="0"/>
              <w:rPr>
                <w:sz w:val="9"/>
                <w:szCs w:val="9"/>
                <w:color w:val="auto"/>
              </w:rPr>
            </w:pPr>
          </w:p>
        </w:tc>
        <w:tc>
          <w:tcPr>
            <w:tcW w:w="1720" w:type="dxa"/>
            <w:vAlign w:val="bottom"/>
            <w:shd w:val="clear" w:color="auto" w:fill="D8D8D8"/>
          </w:tcPr>
          <w:p>
            <w:pPr>
              <w:spacing w:after="0"/>
              <w:rPr>
                <w:sz w:val="9"/>
                <w:szCs w:val="9"/>
                <w:color w:val="auto"/>
              </w:rPr>
            </w:pPr>
          </w:p>
        </w:tc>
        <w:tc>
          <w:tcPr>
            <w:tcW w:w="80" w:type="dxa"/>
            <w:vAlign w:val="bottom"/>
            <w:shd w:val="clear" w:color="auto" w:fill="D8D8D8"/>
          </w:tcPr>
          <w:p>
            <w:pPr>
              <w:spacing w:after="0"/>
              <w:rPr>
                <w:sz w:val="9"/>
                <w:szCs w:val="9"/>
                <w:color w:val="auto"/>
              </w:rPr>
            </w:pPr>
          </w:p>
        </w:tc>
        <w:tc>
          <w:tcPr>
            <w:tcW w:w="380" w:type="dxa"/>
            <w:vAlign w:val="bottom"/>
            <w:shd w:val="clear" w:color="auto" w:fill="D8D8D8"/>
          </w:tcPr>
          <w:p>
            <w:pPr>
              <w:spacing w:after="0" w:line="108" w:lineRule="exact"/>
              <w:rPr>
                <w:sz w:val="20"/>
                <w:szCs w:val="20"/>
                <w:color w:val="auto"/>
              </w:rPr>
            </w:pPr>
            <w:r>
              <w:rPr>
                <w:rFonts w:ascii="Arial" w:cs="Arial" w:eastAsia="Arial" w:hAnsi="Arial"/>
                <w:sz w:val="12"/>
                <w:szCs w:val="12"/>
                <w:color w:val="auto"/>
              </w:rPr>
              <w:t>2024</w:t>
            </w:r>
          </w:p>
        </w:tc>
        <w:tc>
          <w:tcPr>
            <w:tcW w:w="720" w:type="dxa"/>
            <w:vAlign w:val="bottom"/>
            <w:gridSpan w:val="2"/>
            <w:shd w:val="clear" w:color="auto" w:fill="D8D8D8"/>
          </w:tcPr>
          <w:p>
            <w:pPr>
              <w:jc w:val="right"/>
              <w:spacing w:after="0" w:line="108" w:lineRule="exact"/>
              <w:rPr>
                <w:sz w:val="20"/>
                <w:szCs w:val="20"/>
                <w:color w:val="auto"/>
              </w:rPr>
            </w:pPr>
            <w:r>
              <w:rPr>
                <w:rFonts w:ascii="Arial" w:cs="Arial" w:eastAsia="Arial" w:hAnsi="Arial"/>
                <w:sz w:val="12"/>
                <w:szCs w:val="12"/>
                <w:color w:val="auto"/>
              </w:rPr>
              <w:t>336,791</w:t>
            </w:r>
          </w:p>
        </w:tc>
        <w:tc>
          <w:tcPr>
            <w:tcW w:w="120" w:type="dxa"/>
            <w:vAlign w:val="bottom"/>
            <w:shd w:val="clear" w:color="auto" w:fill="D8D8D8"/>
          </w:tcPr>
          <w:p>
            <w:pPr>
              <w:spacing w:after="0"/>
              <w:rPr>
                <w:sz w:val="9"/>
                <w:szCs w:val="9"/>
                <w:color w:val="auto"/>
              </w:rPr>
            </w:pPr>
          </w:p>
        </w:tc>
        <w:tc>
          <w:tcPr>
            <w:tcW w:w="80" w:type="dxa"/>
            <w:vAlign w:val="bottom"/>
            <w:shd w:val="clear" w:color="auto" w:fill="D8D8D8"/>
          </w:tcPr>
          <w:p>
            <w:pPr>
              <w:spacing w:after="0"/>
              <w:rPr>
                <w:sz w:val="9"/>
                <w:szCs w:val="9"/>
                <w:color w:val="auto"/>
              </w:rPr>
            </w:pPr>
          </w:p>
        </w:tc>
        <w:tc>
          <w:tcPr>
            <w:tcW w:w="520" w:type="dxa"/>
            <w:vAlign w:val="bottom"/>
            <w:vMerge w:val="continue"/>
            <w:shd w:val="clear" w:color="auto" w:fill="D8D8D8"/>
          </w:tcPr>
          <w:p>
            <w:pPr>
              <w:spacing w:after="0"/>
              <w:rPr>
                <w:sz w:val="9"/>
                <w:szCs w:val="9"/>
                <w:color w:val="auto"/>
              </w:rPr>
            </w:pPr>
          </w:p>
        </w:tc>
        <w:tc>
          <w:tcPr>
            <w:tcW w:w="140" w:type="dxa"/>
            <w:vAlign w:val="bottom"/>
            <w:shd w:val="clear" w:color="auto" w:fill="D8D8D8"/>
          </w:tcPr>
          <w:p>
            <w:pPr>
              <w:spacing w:after="0"/>
              <w:rPr>
                <w:sz w:val="9"/>
                <w:szCs w:val="9"/>
                <w:color w:val="auto"/>
              </w:rPr>
            </w:pPr>
          </w:p>
        </w:tc>
        <w:tc>
          <w:tcPr>
            <w:tcW w:w="100" w:type="dxa"/>
            <w:vAlign w:val="bottom"/>
            <w:shd w:val="clear" w:color="auto" w:fill="D8D8D8"/>
          </w:tcPr>
          <w:p>
            <w:pPr>
              <w:spacing w:after="0"/>
              <w:rPr>
                <w:sz w:val="9"/>
                <w:szCs w:val="9"/>
                <w:color w:val="auto"/>
              </w:rPr>
            </w:pPr>
          </w:p>
        </w:tc>
        <w:tc>
          <w:tcPr>
            <w:tcW w:w="520" w:type="dxa"/>
            <w:vAlign w:val="bottom"/>
            <w:vMerge w:val="continue"/>
            <w:shd w:val="clear" w:color="auto" w:fill="D8D8D8"/>
          </w:tcPr>
          <w:p>
            <w:pPr>
              <w:spacing w:after="0"/>
              <w:rPr>
                <w:sz w:val="9"/>
                <w:szCs w:val="9"/>
                <w:color w:val="auto"/>
              </w:rPr>
            </w:pPr>
          </w:p>
        </w:tc>
        <w:tc>
          <w:tcPr>
            <w:tcW w:w="140" w:type="dxa"/>
            <w:vAlign w:val="bottom"/>
            <w:shd w:val="clear" w:color="auto" w:fill="D8D8D8"/>
          </w:tcPr>
          <w:p>
            <w:pPr>
              <w:spacing w:after="0"/>
              <w:rPr>
                <w:sz w:val="9"/>
                <w:szCs w:val="9"/>
                <w:color w:val="auto"/>
              </w:rPr>
            </w:pPr>
          </w:p>
        </w:tc>
        <w:tc>
          <w:tcPr>
            <w:tcW w:w="80" w:type="dxa"/>
            <w:vAlign w:val="bottom"/>
            <w:shd w:val="clear" w:color="auto" w:fill="D8D8D8"/>
          </w:tcPr>
          <w:p>
            <w:pPr>
              <w:spacing w:after="0"/>
              <w:rPr>
                <w:sz w:val="9"/>
                <w:szCs w:val="9"/>
                <w:color w:val="auto"/>
              </w:rPr>
            </w:pPr>
          </w:p>
        </w:tc>
        <w:tc>
          <w:tcPr>
            <w:tcW w:w="540" w:type="dxa"/>
            <w:vAlign w:val="bottom"/>
            <w:vMerge w:val="continue"/>
            <w:shd w:val="clear" w:color="auto" w:fill="D8D8D8"/>
          </w:tcPr>
          <w:p>
            <w:pPr>
              <w:spacing w:after="0"/>
              <w:rPr>
                <w:sz w:val="9"/>
                <w:szCs w:val="9"/>
                <w:color w:val="auto"/>
              </w:rPr>
            </w:pPr>
          </w:p>
        </w:tc>
        <w:tc>
          <w:tcPr>
            <w:tcW w:w="140" w:type="dxa"/>
            <w:vAlign w:val="bottom"/>
            <w:shd w:val="clear" w:color="auto" w:fill="D8D8D8"/>
          </w:tcPr>
          <w:p>
            <w:pPr>
              <w:spacing w:after="0"/>
              <w:rPr>
                <w:sz w:val="9"/>
                <w:szCs w:val="9"/>
                <w:color w:val="auto"/>
              </w:rPr>
            </w:pPr>
          </w:p>
        </w:tc>
        <w:tc>
          <w:tcPr>
            <w:tcW w:w="60" w:type="dxa"/>
            <w:vAlign w:val="bottom"/>
            <w:shd w:val="clear" w:color="auto" w:fill="D8D8D8"/>
          </w:tcPr>
          <w:p>
            <w:pPr>
              <w:spacing w:after="0"/>
              <w:rPr>
                <w:sz w:val="9"/>
                <w:szCs w:val="9"/>
                <w:color w:val="auto"/>
              </w:rPr>
            </w:pPr>
          </w:p>
        </w:tc>
        <w:tc>
          <w:tcPr>
            <w:tcW w:w="1000" w:type="dxa"/>
            <w:vAlign w:val="bottom"/>
            <w:vMerge w:val="continue"/>
            <w:shd w:val="clear" w:color="auto" w:fill="D8D8D8"/>
          </w:tcPr>
          <w:p>
            <w:pPr>
              <w:spacing w:after="0"/>
              <w:rPr>
                <w:sz w:val="9"/>
                <w:szCs w:val="9"/>
                <w:color w:val="auto"/>
              </w:rPr>
            </w:pPr>
          </w:p>
        </w:tc>
        <w:tc>
          <w:tcPr>
            <w:tcW w:w="140" w:type="dxa"/>
            <w:vAlign w:val="bottom"/>
            <w:shd w:val="clear" w:color="auto" w:fill="D8D8D8"/>
          </w:tcPr>
          <w:p>
            <w:pPr>
              <w:spacing w:after="0"/>
              <w:rPr>
                <w:sz w:val="9"/>
                <w:szCs w:val="9"/>
                <w:color w:val="auto"/>
              </w:rPr>
            </w:pPr>
          </w:p>
        </w:tc>
        <w:tc>
          <w:tcPr>
            <w:tcW w:w="240" w:type="dxa"/>
            <w:vAlign w:val="bottom"/>
            <w:shd w:val="clear" w:color="auto" w:fill="D8D8D8"/>
          </w:tcPr>
          <w:p>
            <w:pPr>
              <w:spacing w:after="0"/>
              <w:rPr>
                <w:sz w:val="9"/>
                <w:szCs w:val="9"/>
                <w:color w:val="auto"/>
              </w:rPr>
            </w:pPr>
          </w:p>
        </w:tc>
        <w:tc>
          <w:tcPr>
            <w:tcW w:w="820" w:type="dxa"/>
            <w:vAlign w:val="bottom"/>
            <w:vMerge w:val="continue"/>
            <w:shd w:val="clear" w:color="auto" w:fill="D8D8D8"/>
          </w:tcPr>
          <w:p>
            <w:pPr>
              <w:spacing w:after="0"/>
              <w:rPr>
                <w:sz w:val="9"/>
                <w:szCs w:val="9"/>
                <w:color w:val="auto"/>
              </w:rPr>
            </w:pPr>
          </w:p>
        </w:tc>
        <w:tc>
          <w:tcPr>
            <w:tcW w:w="140" w:type="dxa"/>
            <w:vAlign w:val="bottom"/>
            <w:shd w:val="clear" w:color="auto" w:fill="D8D8D8"/>
          </w:tcPr>
          <w:p>
            <w:pPr>
              <w:spacing w:after="0"/>
              <w:rPr>
                <w:sz w:val="9"/>
                <w:szCs w:val="9"/>
                <w:color w:val="auto"/>
              </w:rPr>
            </w:pPr>
          </w:p>
        </w:tc>
        <w:tc>
          <w:tcPr>
            <w:tcW w:w="120" w:type="dxa"/>
            <w:vAlign w:val="bottom"/>
            <w:shd w:val="clear" w:color="auto" w:fill="D8D8D8"/>
          </w:tcPr>
          <w:p>
            <w:pPr>
              <w:spacing w:after="0"/>
              <w:rPr>
                <w:sz w:val="9"/>
                <w:szCs w:val="9"/>
                <w:color w:val="auto"/>
              </w:rPr>
            </w:pPr>
          </w:p>
        </w:tc>
        <w:tc>
          <w:tcPr>
            <w:tcW w:w="600" w:type="dxa"/>
            <w:vAlign w:val="bottom"/>
            <w:vMerge w:val="continue"/>
            <w:shd w:val="clear" w:color="auto" w:fill="D8D8D8"/>
          </w:tcPr>
          <w:p>
            <w:pPr>
              <w:spacing w:after="0"/>
              <w:rPr>
                <w:sz w:val="9"/>
                <w:szCs w:val="9"/>
                <w:color w:val="auto"/>
              </w:rPr>
            </w:pPr>
          </w:p>
        </w:tc>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900" w:type="dxa"/>
            <w:vAlign w:val="bottom"/>
          </w:tcPr>
          <w:p>
            <w:pPr>
              <w:ind w:left="60"/>
              <w:spacing w:after="0" w:line="135" w:lineRule="exact"/>
              <w:rPr>
                <w:sz w:val="20"/>
                <w:szCs w:val="20"/>
                <w:color w:val="auto"/>
              </w:rPr>
            </w:pPr>
            <w:r>
              <w:rPr>
                <w:rFonts w:ascii="Arial" w:cs="Arial" w:eastAsia="Arial" w:hAnsi="Arial"/>
                <w:sz w:val="14"/>
                <w:szCs w:val="14"/>
                <w:color w:val="auto"/>
              </w:rPr>
              <w:t>​</w:t>
            </w:r>
          </w:p>
        </w:tc>
        <w:tc>
          <w:tcPr>
            <w:tcW w:w="1720" w:type="dxa"/>
            <w:vAlign w:val="bottom"/>
          </w:tcPr>
          <w:p>
            <w:pPr>
              <w:spacing w:after="0"/>
              <w:rPr>
                <w:sz w:val="20"/>
                <w:szCs w:val="20"/>
                <w:color w:val="auto"/>
              </w:rPr>
            </w:pPr>
            <w:r>
              <w:rPr>
                <w:rFonts w:ascii="Arial" w:cs="Arial" w:eastAsia="Arial" w:hAnsi="Arial"/>
                <w:sz w:val="9"/>
                <w:szCs w:val="9"/>
                <w:color w:val="auto"/>
              </w:rPr>
              <w:t>(6)</w:t>
            </w:r>
          </w:p>
        </w:tc>
        <w:tc>
          <w:tcPr>
            <w:tcW w:w="80" w:type="dxa"/>
            <w:vAlign w:val="bottom"/>
          </w:tcPr>
          <w:p>
            <w:pPr>
              <w:spacing w:after="0" w:line="135" w:lineRule="exact"/>
              <w:rPr>
                <w:sz w:val="20"/>
                <w:szCs w:val="20"/>
                <w:color w:val="auto"/>
              </w:rPr>
            </w:pPr>
            <w:r>
              <w:rPr>
                <w:rFonts w:ascii="Arial" w:cs="Arial" w:eastAsia="Arial" w:hAnsi="Arial"/>
                <w:sz w:val="14"/>
                <w:szCs w:val="14"/>
                <w:color w:val="auto"/>
              </w:rPr>
              <w:t>​</w:t>
            </w:r>
          </w:p>
        </w:tc>
        <w:tc>
          <w:tcPr>
            <w:tcW w:w="380" w:type="dxa"/>
            <w:vAlign w:val="bottom"/>
          </w:tcPr>
          <w:p>
            <w:pPr>
              <w:spacing w:after="0" w:line="135"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35" w:lineRule="exact"/>
              <w:rPr>
                <w:sz w:val="20"/>
                <w:szCs w:val="20"/>
                <w:color w:val="auto"/>
              </w:rPr>
            </w:pPr>
            <w:r>
              <w:rPr>
                <w:rFonts w:ascii="Arial" w:cs="Arial" w:eastAsia="Arial" w:hAnsi="Arial"/>
                <w:sz w:val="14"/>
                <w:szCs w:val="14"/>
                <w:color w:val="auto"/>
              </w:rPr>
              <w:t>​ ​</w:t>
            </w:r>
          </w:p>
        </w:tc>
        <w:tc>
          <w:tcPr>
            <w:tcW w:w="520" w:type="dxa"/>
            <w:vAlign w:val="bottom"/>
          </w:tcPr>
          <w:p>
            <w:pPr>
              <w:spacing w:after="0"/>
              <w:rPr>
                <w:sz w:val="11"/>
                <w:szCs w:val="11"/>
                <w:color w:val="auto"/>
              </w:rPr>
            </w:pPr>
          </w:p>
        </w:tc>
        <w:tc>
          <w:tcPr>
            <w:tcW w:w="120" w:type="dxa"/>
            <w:vAlign w:val="bottom"/>
          </w:tcPr>
          <w:p>
            <w:pPr>
              <w:ind w:left="4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ind w:left="60"/>
              <w:spacing w:after="0" w:line="135"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line="135"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1"/>
                <w:szCs w:val="11"/>
                <w:color w:val="auto"/>
              </w:rPr>
            </w:pPr>
          </w:p>
        </w:tc>
        <w:tc>
          <w:tcPr>
            <w:tcW w:w="140" w:type="dxa"/>
            <w:vAlign w:val="bottom"/>
          </w:tcPr>
          <w:p>
            <w:pPr>
              <w:ind w:left="60"/>
              <w:spacing w:after="0" w:line="135"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148,540</w:t>
            </w:r>
          </w:p>
        </w:tc>
        <w:tc>
          <w:tcPr>
            <w:tcW w:w="140" w:type="dxa"/>
            <w:vAlign w:val="bottom"/>
          </w:tcPr>
          <w:p>
            <w:pPr>
              <w:ind w:left="60"/>
              <w:spacing w:after="0" w:line="135"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108"/>
              <w:spacing w:after="0" w:line="135" w:lineRule="exact"/>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22,766</w:t>
            </w:r>
          </w:p>
        </w:tc>
        <w:tc>
          <w:tcPr>
            <w:tcW w:w="140" w:type="dxa"/>
            <w:vAlign w:val="bottom"/>
          </w:tcPr>
          <w:p>
            <w:pPr>
              <w:ind w:left="60"/>
              <w:spacing w:after="0" w:line="135"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575,847</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900" w:type="dxa"/>
            <w:vAlign w:val="bottom"/>
          </w:tcPr>
          <w:p>
            <w:pPr>
              <w:ind w:left="60"/>
              <w:spacing w:after="0" w:line="99" w:lineRule="exact"/>
              <w:rPr>
                <w:sz w:val="20"/>
                <w:szCs w:val="20"/>
                <w:color w:val="auto"/>
              </w:rPr>
            </w:pPr>
            <w:r>
              <w:rPr>
                <w:rFonts w:ascii="Arial" w:cs="Arial" w:eastAsia="Arial" w:hAnsi="Arial"/>
                <w:sz w:val="11"/>
                <w:szCs w:val="11"/>
                <w:color w:val="auto"/>
              </w:rPr>
              <w:t>Anthony Pike</w:t>
            </w:r>
          </w:p>
        </w:tc>
        <w:tc>
          <w:tcPr>
            <w:tcW w:w="1720" w:type="dxa"/>
            <w:vAlign w:val="bottom"/>
          </w:tcPr>
          <w:p>
            <w:pPr>
              <w:spacing w:after="0"/>
              <w:rPr>
                <w:sz w:val="8"/>
                <w:szCs w:val="8"/>
                <w:color w:val="auto"/>
              </w:rPr>
            </w:pPr>
          </w:p>
        </w:tc>
        <w:tc>
          <w:tcPr>
            <w:tcW w:w="460" w:type="dxa"/>
            <w:vAlign w:val="bottom"/>
            <w:gridSpan w:val="2"/>
          </w:tcPr>
          <w:p>
            <w:pPr>
              <w:ind w:left="80"/>
              <w:spacing w:after="0" w:line="99" w:lineRule="exact"/>
              <w:rPr>
                <w:sz w:val="20"/>
                <w:szCs w:val="20"/>
                <w:color w:val="auto"/>
              </w:rPr>
            </w:pPr>
            <w:r>
              <w:rPr>
                <w:rFonts w:ascii="Arial" w:cs="Arial" w:eastAsia="Arial" w:hAnsi="Arial"/>
                <w:sz w:val="11"/>
                <w:szCs w:val="11"/>
                <w:color w:val="auto"/>
              </w:rPr>
              <w:t>2025</w:t>
            </w:r>
          </w:p>
        </w:tc>
        <w:tc>
          <w:tcPr>
            <w:tcW w:w="720" w:type="dxa"/>
            <w:vAlign w:val="bottom"/>
            <w:gridSpan w:val="2"/>
          </w:tcPr>
          <w:p>
            <w:pPr>
              <w:jc w:val="right"/>
              <w:spacing w:after="0" w:line="99" w:lineRule="exact"/>
              <w:rPr>
                <w:sz w:val="20"/>
                <w:szCs w:val="20"/>
                <w:color w:val="auto"/>
              </w:rPr>
            </w:pPr>
            <w:r>
              <w:rPr>
                <w:rFonts w:ascii="Arial" w:cs="Arial" w:eastAsia="Arial" w:hAnsi="Arial"/>
                <w:sz w:val="11"/>
                <w:szCs w:val="11"/>
                <w:color w:val="auto"/>
              </w:rPr>
              <w:t>297,081</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gridSpan w:val="2"/>
          </w:tcPr>
          <w:p>
            <w:pPr>
              <w:jc w:val="right"/>
              <w:spacing w:after="0" w:line="99" w:lineRule="exact"/>
              <w:rPr>
                <w:sz w:val="20"/>
                <w:szCs w:val="20"/>
                <w:color w:val="auto"/>
              </w:rPr>
            </w:pPr>
            <w:r>
              <w:rPr>
                <w:rFonts w:ascii="Arial" w:cs="Arial" w:eastAsia="Arial" w:hAnsi="Arial"/>
                <w:sz w:val="11"/>
                <w:szCs w:val="11"/>
                <w:color w:val="auto"/>
              </w:rPr>
              <w:t>106,460</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262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Chief Financial Officer</w:t>
            </w:r>
          </w:p>
        </w:tc>
        <w:tc>
          <w:tcPr>
            <w:tcW w:w="80" w:type="dxa"/>
            <w:vAlign w:val="bottom"/>
          </w:tcPr>
          <w:p>
            <w:pPr>
              <w:spacing w:after="0"/>
              <w:rPr>
                <w:sz w:val="13"/>
                <w:szCs w:val="13"/>
                <w:color w:val="auto"/>
              </w:rPr>
            </w:pPr>
          </w:p>
        </w:tc>
        <w:tc>
          <w:tcPr>
            <w:tcW w:w="38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ind w:left="40"/>
              <w:spacing w:after="0" w:line="158" w:lineRule="exact"/>
              <w:rPr>
                <w:sz w:val="20"/>
                <w:szCs w:val="20"/>
                <w:color w:val="auto"/>
              </w:rPr>
            </w:pPr>
            <w:r>
              <w:rPr>
                <w:rFonts w:ascii="Arial" w:cs="Arial" w:eastAsia="Arial" w:hAnsi="Arial"/>
                <w:sz w:val="14"/>
                <w:szCs w:val="14"/>
                <w:color w:val="auto"/>
              </w:rPr>
              <w:t>​ ​</w:t>
            </w:r>
          </w:p>
        </w:tc>
        <w:tc>
          <w:tcPr>
            <w:tcW w:w="520" w:type="dxa"/>
            <w:vAlign w:val="bottom"/>
          </w:tcPr>
          <w:p>
            <w:pPr>
              <w:spacing w:after="0"/>
              <w:rPr>
                <w:sz w:val="13"/>
                <w:szCs w:val="13"/>
                <w:color w:val="auto"/>
              </w:rPr>
            </w:pPr>
          </w:p>
        </w:tc>
        <w:tc>
          <w:tcPr>
            <w:tcW w:w="120" w:type="dxa"/>
            <w:vAlign w:val="bottom"/>
          </w:tcPr>
          <w:p>
            <w:pPr>
              <w:ind w:left="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27,448</w:t>
            </w:r>
          </w:p>
        </w:tc>
        <w:tc>
          <w:tcPr>
            <w:tcW w:w="14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19,013</w:t>
            </w:r>
          </w:p>
        </w:tc>
        <w:tc>
          <w:tcPr>
            <w:tcW w:w="14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20,049</w:t>
            </w:r>
          </w:p>
        </w:tc>
        <w:tc>
          <w:tcPr>
            <w:tcW w:w="14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70,605</w:t>
            </w:r>
          </w:p>
        </w:tc>
        <w:tc>
          <w:tcPr>
            <w:tcW w:w="14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108"/>
              <w:spacing w:after="0" w:line="158" w:lineRule="exact"/>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21,734</w:t>
            </w:r>
          </w:p>
        </w:tc>
        <w:tc>
          <w:tcPr>
            <w:tcW w:w="140" w:type="dxa"/>
            <w:vAlign w:val="bottom"/>
          </w:tcPr>
          <w:p>
            <w:pPr>
              <w:ind w:left="6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437,151</w:t>
            </w:r>
          </w:p>
        </w:tc>
        <w:tc>
          <w:tcPr>
            <w:tcW w:w="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2024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278,302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-36830</wp:posOffset>
            </wp:positionV>
            <wp:extent cx="59061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jc w:val="both"/>
        <w:ind w:left="1060" w:right="20" w:hanging="352"/>
        <w:spacing w:after="0" w:line="281" w:lineRule="auto"/>
        <w:tabs>
          <w:tab w:leader="none" w:pos="1060" w:val="left"/>
        </w:tabs>
        <w:numPr>
          <w:ilvl w:val="0"/>
          <w:numId w:val="19"/>
        </w:numPr>
        <w:rPr>
          <w:rFonts w:ascii="Arial" w:cs="Arial" w:eastAsia="Arial" w:hAnsi="Arial"/>
          <w:sz w:val="14"/>
          <w:szCs w:val="14"/>
          <w:color w:val="395796"/>
        </w:rPr>
      </w:pPr>
      <w:r>
        <w:rPr>
          <w:rFonts w:ascii="Arial" w:cs="Arial" w:eastAsia="Arial" w:hAnsi="Arial"/>
          <w:sz w:val="14"/>
          <w:szCs w:val="14"/>
          <w:color w:val="auto"/>
        </w:rPr>
        <w:t>Amounts for 2025 reflect annual holiday bonuses. Amounts for 2024 reflect discretionary bonuses awarded in March 2024 to improve morale and promote retention after we announced a staged wind-down of our manufacturing operations and a related reduction-in-force and annual holiday bonuses of $1,000.</w:t>
      </w:r>
    </w:p>
    <w:p>
      <w:pPr>
        <w:spacing w:after="0" w:line="1" w:lineRule="exact"/>
        <w:rPr>
          <w:rFonts w:ascii="Arial" w:cs="Arial" w:eastAsia="Arial" w:hAnsi="Arial"/>
          <w:sz w:val="14"/>
          <w:szCs w:val="14"/>
          <w:color w:val="395796"/>
        </w:rPr>
      </w:pPr>
    </w:p>
    <w:p>
      <w:pPr>
        <w:jc w:val="both"/>
        <w:ind w:left="1060" w:right="20" w:hanging="352"/>
        <w:spacing w:after="0" w:line="281" w:lineRule="auto"/>
        <w:tabs>
          <w:tab w:leader="none" w:pos="1060" w:val="left"/>
        </w:tabs>
        <w:numPr>
          <w:ilvl w:val="0"/>
          <w:numId w:val="19"/>
        </w:numPr>
        <w:rPr>
          <w:rFonts w:ascii="Arial" w:cs="Arial" w:eastAsia="Arial" w:hAnsi="Arial"/>
          <w:sz w:val="14"/>
          <w:szCs w:val="14"/>
          <w:color w:val="395796"/>
        </w:rPr>
      </w:pPr>
      <w:r>
        <w:rPr>
          <w:rFonts w:ascii="Arial" w:cs="Arial" w:eastAsia="Arial" w:hAnsi="Arial"/>
          <w:sz w:val="14"/>
          <w:szCs w:val="14"/>
          <w:color w:val="auto"/>
        </w:rPr>
        <w:t xml:space="preserve">Amounts shown do not reflect compensation actually received by the named executive officer. Instead, the amounts shown represent the aggregate grant date fair value, computed using the closing price of our common stock on the date of grant in accordance with Accounting Standards Codification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xml:space="preserve"> (ASC 718), of restricted stock awards granted during each year, excluding the impact of estimated forfeitures related to service-based vesting conditions.</w:t>
      </w:r>
    </w:p>
    <w:p>
      <w:pPr>
        <w:spacing w:after="0" w:line="2" w:lineRule="exact"/>
        <w:rPr>
          <w:rFonts w:ascii="Arial" w:cs="Arial" w:eastAsia="Arial" w:hAnsi="Arial"/>
          <w:sz w:val="14"/>
          <w:szCs w:val="14"/>
          <w:color w:val="395796"/>
        </w:rPr>
      </w:pPr>
    </w:p>
    <w:p>
      <w:pPr>
        <w:jc w:val="both"/>
        <w:ind w:left="1060" w:right="20" w:hanging="352"/>
        <w:spacing w:after="0" w:line="277" w:lineRule="auto"/>
        <w:tabs>
          <w:tab w:leader="none" w:pos="1060" w:val="left"/>
        </w:tabs>
        <w:numPr>
          <w:ilvl w:val="0"/>
          <w:numId w:val="19"/>
        </w:numPr>
        <w:rPr>
          <w:rFonts w:ascii="Arial" w:cs="Arial" w:eastAsia="Arial" w:hAnsi="Arial"/>
          <w:sz w:val="14"/>
          <w:szCs w:val="14"/>
          <w:color w:val="395796"/>
        </w:rPr>
      </w:pPr>
      <w:r>
        <w:rPr>
          <w:rFonts w:ascii="Arial" w:cs="Arial" w:eastAsia="Arial" w:hAnsi="Arial"/>
          <w:sz w:val="14"/>
          <w:szCs w:val="14"/>
          <w:color w:val="auto"/>
        </w:rPr>
        <w:t>Amounts shown do not reflect compensation actually received by the named executive officer. Instead, the amounts shown represent the aggregate grant date fair value, computed using the Black-Scholes option pricing model in accordance with ASC 718, of options granted during each year, excluding the impact of estimated forfeitures related to service-based vesting conditions. The assumptions made to determine the value of these awards are set forth in Note 7 of our Consolidated Financial Statements included in our annual report on Form 10-K for the year ended December 31, 2025, as filed with the SEC on March 10, 2026.</w:t>
      </w:r>
    </w:p>
    <w:p>
      <w:pPr>
        <w:spacing w:after="0" w:line="2" w:lineRule="exact"/>
        <w:rPr>
          <w:rFonts w:ascii="Arial" w:cs="Arial" w:eastAsia="Arial" w:hAnsi="Arial"/>
          <w:sz w:val="14"/>
          <w:szCs w:val="14"/>
          <w:color w:val="395796"/>
        </w:rPr>
      </w:pPr>
    </w:p>
    <w:p>
      <w:pPr>
        <w:jc w:val="both"/>
        <w:ind w:left="1060" w:right="40" w:hanging="352"/>
        <w:spacing w:after="0" w:line="288" w:lineRule="auto"/>
        <w:tabs>
          <w:tab w:leader="none" w:pos="1060" w:val="left"/>
        </w:tabs>
        <w:numPr>
          <w:ilvl w:val="0"/>
          <w:numId w:val="19"/>
        </w:numPr>
        <w:rPr>
          <w:rFonts w:ascii="Arial" w:cs="Arial" w:eastAsia="Arial" w:hAnsi="Arial"/>
          <w:sz w:val="14"/>
          <w:szCs w:val="14"/>
          <w:color w:val="395796"/>
        </w:rPr>
      </w:pPr>
      <w:r>
        <w:rPr>
          <w:rFonts w:ascii="Arial" w:cs="Arial" w:eastAsia="Arial" w:hAnsi="Arial"/>
          <w:sz w:val="14"/>
          <w:szCs w:val="14"/>
          <w:color w:val="auto"/>
        </w:rPr>
        <w:t>For 2025, the table reflects amounts that were earned under our management incentive compensation plan for 2025 performance that were determined and paid in March 2026. For 2024, the table reflects amounts that were earned under our management incentive compensation plan for 2024 performance and that were determined and paid in March 2025.</w:t>
      </w:r>
    </w:p>
    <w:p>
      <w:pPr>
        <w:jc w:val="both"/>
        <w:ind w:left="1060" w:right="20" w:hanging="352"/>
        <w:spacing w:after="0" w:line="281" w:lineRule="auto"/>
        <w:tabs>
          <w:tab w:leader="none" w:pos="1060" w:val="left"/>
        </w:tabs>
        <w:numPr>
          <w:ilvl w:val="0"/>
          <w:numId w:val="19"/>
        </w:numPr>
        <w:rPr>
          <w:rFonts w:ascii="Arial" w:cs="Arial" w:eastAsia="Arial" w:hAnsi="Arial"/>
          <w:sz w:val="14"/>
          <w:szCs w:val="14"/>
          <w:color w:val="395796"/>
        </w:rPr>
      </w:pPr>
      <w:r>
        <w:rPr>
          <w:rFonts w:ascii="Arial" w:cs="Arial" w:eastAsia="Arial" w:hAnsi="Arial"/>
          <w:sz w:val="14"/>
          <w:szCs w:val="14"/>
          <w:color w:val="auto"/>
        </w:rPr>
        <w:t>Amounts reflect the value of 401(k) matching contributions and, in the case of Mr. Pike, an automobile allowance and pension matching contributions. Mr. Pike’s automobile allowance was $7,912 and $7,672 for 2025 and 2024, respectively. Our named executive officers did not receive any other perquisites or personal benefits.</w:t>
      </w:r>
    </w:p>
    <w:p>
      <w:pPr>
        <w:spacing w:after="0" w:line="1" w:lineRule="exact"/>
        <w:rPr>
          <w:rFonts w:ascii="Arial" w:cs="Arial" w:eastAsia="Arial" w:hAnsi="Arial"/>
          <w:sz w:val="14"/>
          <w:szCs w:val="14"/>
          <w:color w:val="395796"/>
        </w:rPr>
      </w:pPr>
    </w:p>
    <w:p>
      <w:pPr>
        <w:ind w:left="1060" w:right="20" w:hanging="352"/>
        <w:spacing w:after="0" w:line="325" w:lineRule="auto"/>
        <w:tabs>
          <w:tab w:leader="none" w:pos="1060" w:val="left"/>
        </w:tabs>
        <w:numPr>
          <w:ilvl w:val="0"/>
          <w:numId w:val="19"/>
        </w:numPr>
        <w:rPr>
          <w:rFonts w:ascii="Arial" w:cs="Arial" w:eastAsia="Arial" w:hAnsi="Arial"/>
          <w:sz w:val="14"/>
          <w:szCs w:val="14"/>
          <w:color w:val="395796"/>
        </w:rPr>
      </w:pPr>
      <w:r>
        <w:rPr>
          <w:rFonts w:ascii="Arial" w:cs="Arial" w:eastAsia="Arial" w:hAnsi="Arial"/>
          <w:sz w:val="14"/>
          <w:szCs w:val="14"/>
          <w:color w:val="auto"/>
        </w:rPr>
        <w:t>Amounts paid in British pounds have been converted to U.S. dollars using the average exchange rates in effect during 2024 and 2025, as applicable.</w:t>
      </w:r>
    </w:p>
    <w:p>
      <w:pPr>
        <w:spacing w:after="0" w:line="27" w:lineRule="exact"/>
        <w:rPr>
          <w:sz w:val="20"/>
          <w:szCs w:val="20"/>
          <w:color w:val="auto"/>
        </w:rPr>
      </w:pPr>
    </w:p>
    <w:p>
      <w:pPr>
        <w:jc w:val="both"/>
        <w:ind w:left="700" w:right="20"/>
        <w:spacing w:after="0" w:line="262" w:lineRule="auto"/>
        <w:rPr>
          <w:sz w:val="20"/>
          <w:szCs w:val="20"/>
          <w:color w:val="auto"/>
        </w:rPr>
      </w:pPr>
      <w:r>
        <w:rPr>
          <w:rFonts w:ascii="Arial" w:cs="Arial" w:eastAsia="Arial" w:hAnsi="Arial"/>
          <w:sz w:val="18"/>
          <w:szCs w:val="18"/>
          <w:color w:val="auto"/>
        </w:rPr>
        <w:t>For information regarding the material terms of our management incentive plan for 2025 and equity awards granted in 2025, see “Proposal 2 – Non-Binding Say on Pay Vote – Annual Cash-Based Incentive Compensation” and “Long-Term Equity Incentives” beginning on page 9 and the table below entitled “Outstanding Equity Awards at December 31, 2025”, including the footnotes.</w:t>
      </w:r>
    </w:p>
    <w:p>
      <w:pPr>
        <w:spacing w:after="0" w:line="230" w:lineRule="exact"/>
        <w:rPr>
          <w:sz w:val="20"/>
          <w:szCs w:val="20"/>
          <w:color w:val="auto"/>
        </w:rPr>
      </w:pPr>
    </w:p>
    <w:p>
      <w:pPr>
        <w:ind w:left="6280"/>
        <w:spacing w:after="0"/>
        <w:rPr>
          <w:sz w:val="20"/>
          <w:szCs w:val="20"/>
          <w:color w:val="auto"/>
        </w:rPr>
      </w:pPr>
      <w:r>
        <w:rPr>
          <w:rFonts w:ascii="Arial" w:cs="Arial" w:eastAsia="Arial" w:hAnsi="Arial"/>
          <w:sz w:val="18"/>
          <w:szCs w:val="18"/>
          <w:color w:val="395796"/>
        </w:rPr>
        <w:t xml:space="preserve">KVH Industries, Inc. 2026 Proxy Statement  </w:t>
      </w:r>
      <w:r>
        <w:rPr>
          <w:rFonts w:ascii="Arial" w:cs="Arial" w:eastAsia="Arial" w:hAnsi="Arial"/>
          <w:sz w:val="18"/>
          <w:szCs w:val="18"/>
          <w:color w:val="000000"/>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395796"/>
        </w:rPr>
        <w:t>COMPENSATION OF DIRECTORS AND EXECUTIVE OFFICERS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395796"/>
        </w:rPr>
        <w:t>Outstanding Equity Awards at December 31, 2025</w:t>
      </w:r>
    </w:p>
    <w:p>
      <w:pPr>
        <w:spacing w:after="0" w:line="114" w:lineRule="exact"/>
        <w:rPr>
          <w:sz w:val="20"/>
          <w:szCs w:val="20"/>
          <w:color w:val="auto"/>
        </w:rPr>
      </w:pPr>
    </w:p>
    <w:p>
      <w:pPr>
        <w:ind w:left="700" w:right="40"/>
        <w:spacing w:after="0" w:line="318" w:lineRule="auto"/>
        <w:rPr>
          <w:sz w:val="20"/>
          <w:szCs w:val="20"/>
          <w:color w:val="auto"/>
        </w:rPr>
      </w:pPr>
      <w:r>
        <w:rPr>
          <w:rFonts w:ascii="Arial" w:cs="Arial" w:eastAsia="Arial" w:hAnsi="Arial"/>
          <w:sz w:val="17"/>
          <w:szCs w:val="17"/>
          <w:color w:val="auto"/>
        </w:rPr>
        <w:t>The following table provides information concerning outstanding equity awards held by the named executive officers on December 31, 2025. The table gives effect to the acceleration of the vesting of certain awards on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51435</wp:posOffset>
            </wp:positionV>
            <wp:extent cx="5906135" cy="9601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06135" cy="960120"/>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sectPr>
      </w:pPr>
    </w:p>
    <w:p>
      <w:pPr>
        <w:spacing w:after="0" w:line="167" w:lineRule="exact"/>
        <w:rPr>
          <w:sz w:val="20"/>
          <w:szCs w:val="20"/>
          <w:color w:val="auto"/>
        </w:rPr>
      </w:pPr>
    </w:p>
    <w:p>
      <w:pPr>
        <w:ind w:left="740"/>
        <w:spacing w:after="0"/>
        <w:tabs>
          <w:tab w:leader="none" w:pos="1720" w:val="left"/>
        </w:tabs>
        <w:rPr>
          <w:sz w:val="20"/>
          <w:szCs w:val="20"/>
          <w:color w:val="auto"/>
        </w:rPr>
      </w:pPr>
      <w:r>
        <w:rPr>
          <w:rFonts w:ascii="Arial" w:cs="Arial" w:eastAsia="Arial" w:hAnsi="Arial"/>
          <w:sz w:val="14"/>
          <w:szCs w:val="14"/>
          <w:b w:val="1"/>
          <w:bCs w:val="1"/>
          <w:color w:val="FFFFFF"/>
        </w:rPr>
        <w:t>​</w:t>
      </w:r>
      <w:r>
        <w:rPr>
          <w:sz w:val="20"/>
          <w:szCs w:val="20"/>
          <w:color w:val="auto"/>
        </w:rPr>
        <w:tab/>
      </w:r>
      <w:r>
        <w:rPr>
          <w:rFonts w:ascii="Arial" w:cs="Arial" w:eastAsia="Arial" w:hAnsi="Arial"/>
          <w:sz w:val="14"/>
          <w:szCs w:val="14"/>
          <w:b w:val="1"/>
          <w:bCs w:val="1"/>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8"/>
          <w:szCs w:val="28"/>
          <w:b w:val="1"/>
          <w:bCs w:val="1"/>
          <w:color w:val="FFFFFF"/>
          <w:vertAlign w:val="subscript"/>
        </w:rPr>
        <w:t>​</w:t>
      </w:r>
    </w:p>
    <w:p>
      <w:pPr>
        <w:ind w:left="760"/>
        <w:spacing w:after="0" w:line="190" w:lineRule="auto"/>
        <w:rPr>
          <w:sz w:val="20"/>
          <w:szCs w:val="20"/>
          <w:color w:val="auto"/>
        </w:rPr>
      </w:pPr>
      <w:r>
        <w:rPr>
          <w:rFonts w:ascii="Arial" w:cs="Arial" w:eastAsia="Arial" w:hAnsi="Arial"/>
          <w:sz w:val="11"/>
          <w:szCs w:val="11"/>
          <w:color w:val="auto"/>
        </w:rPr>
        <w:t>​</w:t>
      </w:r>
    </w:p>
    <w:p>
      <w:pPr>
        <w:ind w:left="760"/>
        <w:spacing w:after="0"/>
        <w:rPr>
          <w:sz w:val="20"/>
          <w:szCs w:val="20"/>
          <w:color w:val="auto"/>
        </w:rPr>
      </w:pPr>
      <w:r>
        <w:rPr>
          <w:rFonts w:ascii="Arial" w:cs="Arial" w:eastAsia="Arial" w:hAnsi="Arial"/>
          <w:sz w:val="16"/>
          <w:szCs w:val="16"/>
          <w:color w:val="auto"/>
        </w:rPr>
        <w:t>Brent C. Bruun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-34925</wp:posOffset>
            </wp:positionV>
            <wp:extent cx="1440180" cy="13633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40180" cy="136334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5"/>
          <w:szCs w:val="15"/>
          <w:color w:val="auto"/>
        </w:rPr>
        <w:t>Felise B. Feingold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p>
    <w:p>
      <w:pPr>
        <w:ind w:left="760"/>
        <w:spacing w:after="0"/>
        <w:rPr>
          <w:sz w:val="20"/>
          <w:szCs w:val="20"/>
          <w:color w:val="auto"/>
        </w:rPr>
      </w:pPr>
      <w:r>
        <w:rPr>
          <w:rFonts w:ascii="Arial" w:cs="Arial" w:eastAsia="Arial" w:hAnsi="Arial"/>
          <w:sz w:val="16"/>
          <w:szCs w:val="16"/>
          <w:color w:val="auto"/>
        </w:rPr>
        <w:t>Anthony Pike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60" w:type="dxa"/>
            <w:vAlign w:val="bottom"/>
            <w:gridSpan w:val="2"/>
          </w:tcPr>
          <w:p>
            <w:pPr>
              <w:ind w:left="60"/>
              <w:spacing w:after="0"/>
              <w:rPr>
                <w:sz w:val="20"/>
                <w:szCs w:val="20"/>
                <w:color w:val="auto"/>
              </w:rPr>
            </w:pPr>
            <w:r>
              <w:rPr>
                <w:rFonts w:ascii="Arial" w:cs="Arial" w:eastAsia="Arial" w:hAnsi="Arial"/>
                <w:sz w:val="14"/>
                <w:szCs w:val="14"/>
                <w:b w:val="1"/>
                <w:bCs w:val="1"/>
                <w:color w:val="FFFFFF"/>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FFFFFF"/>
              </w:rPr>
              <w: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FFFFFF"/>
              </w:rPr>
              <w:t>Option Awards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FFFFFF"/>
              </w:rPr>
              <w:t>​</w:t>
            </w:r>
          </w:p>
        </w:tc>
        <w:tc>
          <w:tcPr>
            <w:tcW w:w="140" w:type="dxa"/>
            <w:vAlign w:val="bottom"/>
            <w:gridSpan w:val="2"/>
          </w:tcPr>
          <w:p>
            <w:pPr>
              <w:spacing w:after="0"/>
              <w:rPr>
                <w:sz w:val="20"/>
                <w:szCs w:val="20"/>
                <w:color w:val="auto"/>
              </w:rPr>
            </w:pPr>
            <w:r>
              <w:rPr>
                <w:rFonts w:ascii="Arial" w:cs="Arial" w:eastAsia="Arial" w:hAnsi="Arial"/>
                <w:sz w:val="14"/>
                <w:szCs w:val="14"/>
                <w:b w:val="1"/>
                <w:bCs w:val="1"/>
                <w:color w:val="FFFFFF"/>
              </w:rPr>
              <w:t>​</w:t>
            </w:r>
          </w:p>
        </w:tc>
        <w:tc>
          <w:tcPr>
            <w:tcW w:w="84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FFFFFF"/>
                <w:w w:val="97"/>
              </w:rPr>
              <w:t>Stock Awards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
                <w:szCs w:val="1"/>
                <w:b w:val="1"/>
                <w:bCs w:val="1"/>
                <w:color w:val="FFFFFF"/>
                <w:w w:val="4294942296"/>
              </w:rPr>
              <w:t>​</w:t>
            </w:r>
          </w:p>
        </w:tc>
        <w:tc>
          <w:tcPr>
            <w:tcW w:w="0" w:type="dxa"/>
            <w:vAlign w:val="bottom"/>
          </w:tcPr>
          <w:p>
            <w:pPr>
              <w:spacing w:after="0"/>
              <w:rPr>
                <w:sz w:val="1"/>
                <w:szCs w:val="1"/>
                <w:color w:val="auto"/>
              </w:rPr>
            </w:pPr>
          </w:p>
        </w:tc>
      </w:tr>
      <w:tr>
        <w:trPr>
          <w:trHeight w:val="227"/>
        </w:trPr>
        <w:tc>
          <w:tcPr>
            <w:tcW w:w="120" w:type="dxa"/>
            <w:vAlign w:val="bottom"/>
            <w:tcBorders>
              <w:top w:val="single" w:sz="8" w:color="395796"/>
            </w:tcBorders>
          </w:tcPr>
          <w:p>
            <w:pPr>
              <w:spacing w:after="0"/>
              <w:rPr>
                <w:sz w:val="19"/>
                <w:szCs w:val="19"/>
                <w:color w:val="auto"/>
              </w:rPr>
            </w:pPr>
          </w:p>
        </w:tc>
        <w:tc>
          <w:tcPr>
            <w:tcW w:w="40" w:type="dxa"/>
            <w:vAlign w:val="bottom"/>
            <w:tcBorders>
              <w:top w:val="single" w:sz="8" w:color="395796"/>
            </w:tcBorders>
          </w:tcPr>
          <w:p>
            <w:pPr>
              <w:spacing w:after="0"/>
              <w:rPr>
                <w:sz w:val="19"/>
                <w:szCs w:val="19"/>
                <w:color w:val="auto"/>
              </w:rPr>
            </w:pPr>
          </w:p>
        </w:tc>
        <w:tc>
          <w:tcPr>
            <w:tcW w:w="80" w:type="dxa"/>
            <w:vAlign w:val="bottom"/>
            <w:tcBorders>
              <w:top w:val="single" w:sz="8" w:color="395796"/>
            </w:tcBorders>
          </w:tcPr>
          <w:p>
            <w:pPr>
              <w:spacing w:after="0"/>
              <w:rPr>
                <w:sz w:val="19"/>
                <w:szCs w:val="19"/>
                <w:color w:val="auto"/>
              </w:rPr>
            </w:pPr>
          </w:p>
        </w:tc>
        <w:tc>
          <w:tcPr>
            <w:tcW w:w="40" w:type="dxa"/>
            <w:vAlign w:val="bottom"/>
            <w:tcBorders>
              <w:top w:val="single" w:sz="8" w:color="FEFEFE"/>
            </w:tcBorders>
          </w:tcPr>
          <w:p>
            <w:pPr>
              <w:spacing w:after="0"/>
              <w:rPr>
                <w:sz w:val="19"/>
                <w:szCs w:val="19"/>
                <w:color w:val="auto"/>
              </w:rPr>
            </w:pPr>
          </w:p>
        </w:tc>
        <w:tc>
          <w:tcPr>
            <w:tcW w:w="800" w:type="dxa"/>
            <w:vAlign w:val="bottom"/>
            <w:tcBorders>
              <w:top w:val="single" w:sz="8" w:color="FEFEFE"/>
            </w:tcBorders>
          </w:tcPr>
          <w:p>
            <w:pPr>
              <w:jc w:val="right"/>
              <w:spacing w:after="0"/>
              <w:rPr>
                <w:sz w:val="20"/>
                <w:szCs w:val="20"/>
                <w:color w:val="auto"/>
              </w:rPr>
            </w:pPr>
            <w:r>
              <w:rPr>
                <w:rFonts w:ascii="Arial" w:cs="Arial" w:eastAsia="Arial" w:hAnsi="Arial"/>
                <w:sz w:val="14"/>
                <w:szCs w:val="14"/>
                <w:b w:val="1"/>
                <w:bCs w:val="1"/>
                <w:color w:val="FFFFFF"/>
              </w:rPr>
              <w:t>Number of</w:t>
            </w:r>
          </w:p>
        </w:tc>
        <w:tc>
          <w:tcPr>
            <w:tcW w:w="120" w:type="dxa"/>
            <w:vAlign w:val="bottom"/>
            <w:tcBorders>
              <w:top w:val="single" w:sz="8" w:color="FEFEFE"/>
            </w:tcBorders>
          </w:tcPr>
          <w:p>
            <w:pPr>
              <w:spacing w:after="0"/>
              <w:rPr>
                <w:sz w:val="19"/>
                <w:szCs w:val="19"/>
                <w:color w:val="auto"/>
              </w:rPr>
            </w:pPr>
          </w:p>
        </w:tc>
        <w:tc>
          <w:tcPr>
            <w:tcW w:w="120" w:type="dxa"/>
            <w:vAlign w:val="bottom"/>
            <w:tcBorders>
              <w:top w:val="single" w:sz="8" w:color="FEFEFE"/>
            </w:tcBorders>
          </w:tcPr>
          <w:p>
            <w:pPr>
              <w:spacing w:after="0"/>
              <w:rPr>
                <w:sz w:val="19"/>
                <w:szCs w:val="19"/>
                <w:color w:val="auto"/>
              </w:rPr>
            </w:pPr>
          </w:p>
        </w:tc>
        <w:tc>
          <w:tcPr>
            <w:tcW w:w="100" w:type="dxa"/>
            <w:vAlign w:val="bottom"/>
            <w:tcBorders>
              <w:top w:val="single" w:sz="8" w:color="FEFEFE"/>
            </w:tcBorders>
          </w:tcPr>
          <w:p>
            <w:pPr>
              <w:spacing w:after="0"/>
              <w:rPr>
                <w:sz w:val="19"/>
                <w:szCs w:val="19"/>
                <w:color w:val="auto"/>
              </w:rPr>
            </w:pPr>
          </w:p>
        </w:tc>
        <w:tc>
          <w:tcPr>
            <w:tcW w:w="860" w:type="dxa"/>
            <w:vAlign w:val="bottom"/>
            <w:tcBorders>
              <w:top w:val="single" w:sz="8" w:color="FEFEFE"/>
            </w:tcBorders>
          </w:tcPr>
          <w:p>
            <w:pPr>
              <w:jc w:val="right"/>
              <w:spacing w:after="0"/>
              <w:rPr>
                <w:sz w:val="20"/>
                <w:szCs w:val="20"/>
                <w:color w:val="auto"/>
              </w:rPr>
            </w:pPr>
            <w:r>
              <w:rPr>
                <w:rFonts w:ascii="Arial" w:cs="Arial" w:eastAsia="Arial" w:hAnsi="Arial"/>
                <w:sz w:val="14"/>
                <w:szCs w:val="14"/>
                <w:b w:val="1"/>
                <w:bCs w:val="1"/>
                <w:color w:val="FFFFFF"/>
              </w:rPr>
              <w:t>Number of</w:t>
            </w:r>
          </w:p>
        </w:tc>
        <w:tc>
          <w:tcPr>
            <w:tcW w:w="120" w:type="dxa"/>
            <w:vAlign w:val="bottom"/>
            <w:tcBorders>
              <w:top w:val="single" w:sz="8" w:color="FEFEFE"/>
            </w:tcBorders>
          </w:tcPr>
          <w:p>
            <w:pPr>
              <w:spacing w:after="0"/>
              <w:rPr>
                <w:sz w:val="19"/>
                <w:szCs w:val="19"/>
                <w:color w:val="auto"/>
              </w:rPr>
            </w:pPr>
          </w:p>
        </w:tc>
        <w:tc>
          <w:tcPr>
            <w:tcW w:w="120" w:type="dxa"/>
            <w:vAlign w:val="bottom"/>
            <w:tcBorders>
              <w:top w:val="single" w:sz="8" w:color="FEFEFE"/>
            </w:tcBorders>
          </w:tcPr>
          <w:p>
            <w:pPr>
              <w:spacing w:after="0"/>
              <w:rPr>
                <w:sz w:val="19"/>
                <w:szCs w:val="19"/>
                <w:color w:val="auto"/>
              </w:rPr>
            </w:pPr>
          </w:p>
        </w:tc>
        <w:tc>
          <w:tcPr>
            <w:tcW w:w="100" w:type="dxa"/>
            <w:vAlign w:val="bottom"/>
            <w:tcBorders>
              <w:top w:val="single" w:sz="8" w:color="FEFEFE"/>
            </w:tcBorders>
          </w:tcPr>
          <w:p>
            <w:pPr>
              <w:spacing w:after="0"/>
              <w:rPr>
                <w:sz w:val="19"/>
                <w:szCs w:val="19"/>
                <w:color w:val="auto"/>
              </w:rPr>
            </w:pPr>
          </w:p>
        </w:tc>
        <w:tc>
          <w:tcPr>
            <w:tcW w:w="500" w:type="dxa"/>
            <w:vAlign w:val="bottom"/>
            <w:tcBorders>
              <w:top w:val="single" w:sz="8" w:color="FEFEFE"/>
            </w:tcBorders>
          </w:tcPr>
          <w:p>
            <w:pPr>
              <w:spacing w:after="0"/>
              <w:rPr>
                <w:sz w:val="19"/>
                <w:szCs w:val="19"/>
                <w:color w:val="auto"/>
              </w:rPr>
            </w:pPr>
          </w:p>
        </w:tc>
        <w:tc>
          <w:tcPr>
            <w:tcW w:w="80" w:type="dxa"/>
            <w:vAlign w:val="bottom"/>
            <w:tcBorders>
              <w:top w:val="single" w:sz="8" w:color="FEFEFE"/>
            </w:tcBorders>
          </w:tcPr>
          <w:p>
            <w:pPr>
              <w:spacing w:after="0"/>
              <w:rPr>
                <w:sz w:val="19"/>
                <w:szCs w:val="19"/>
                <w:color w:val="auto"/>
              </w:rPr>
            </w:pPr>
          </w:p>
        </w:tc>
        <w:tc>
          <w:tcPr>
            <w:tcW w:w="140" w:type="dxa"/>
            <w:vAlign w:val="bottom"/>
            <w:tcBorders>
              <w:top w:val="single" w:sz="8" w:color="FEFEFE"/>
            </w:tcBorders>
          </w:tcPr>
          <w:p>
            <w:pPr>
              <w:spacing w:after="0"/>
              <w:rPr>
                <w:sz w:val="19"/>
                <w:szCs w:val="19"/>
                <w:color w:val="auto"/>
              </w:rPr>
            </w:pPr>
          </w:p>
        </w:tc>
        <w:tc>
          <w:tcPr>
            <w:tcW w:w="120" w:type="dxa"/>
            <w:vAlign w:val="bottom"/>
            <w:tcBorders>
              <w:top w:val="single" w:sz="8" w:color="FEFEFE"/>
            </w:tcBorders>
          </w:tcPr>
          <w:p>
            <w:pPr>
              <w:spacing w:after="0"/>
              <w:rPr>
                <w:sz w:val="19"/>
                <w:szCs w:val="19"/>
                <w:color w:val="auto"/>
              </w:rPr>
            </w:pPr>
          </w:p>
        </w:tc>
        <w:tc>
          <w:tcPr>
            <w:tcW w:w="740" w:type="dxa"/>
            <w:vAlign w:val="bottom"/>
            <w:tcBorders>
              <w:top w:val="single" w:sz="8" w:color="FEFEFE"/>
            </w:tcBorders>
          </w:tcPr>
          <w:p>
            <w:pPr>
              <w:spacing w:after="0"/>
              <w:rPr>
                <w:sz w:val="19"/>
                <w:szCs w:val="19"/>
                <w:color w:val="auto"/>
              </w:rPr>
            </w:pPr>
          </w:p>
        </w:tc>
        <w:tc>
          <w:tcPr>
            <w:tcW w:w="60" w:type="dxa"/>
            <w:vAlign w:val="bottom"/>
            <w:tcBorders>
              <w:top w:val="single" w:sz="8" w:color="395796"/>
            </w:tcBorders>
          </w:tcPr>
          <w:p>
            <w:pPr>
              <w:spacing w:after="0"/>
              <w:rPr>
                <w:sz w:val="19"/>
                <w:szCs w:val="19"/>
                <w:color w:val="auto"/>
              </w:rPr>
            </w:pPr>
          </w:p>
        </w:tc>
        <w:tc>
          <w:tcPr>
            <w:tcW w:w="120" w:type="dxa"/>
            <w:vAlign w:val="bottom"/>
            <w:tcBorders>
              <w:top w:val="single" w:sz="8" w:color="395796"/>
            </w:tcBorders>
          </w:tcPr>
          <w:p>
            <w:pPr>
              <w:spacing w:after="0"/>
              <w:rPr>
                <w:sz w:val="19"/>
                <w:szCs w:val="19"/>
                <w:color w:val="auto"/>
              </w:rPr>
            </w:pPr>
          </w:p>
        </w:tc>
        <w:tc>
          <w:tcPr>
            <w:tcW w:w="60" w:type="dxa"/>
            <w:vAlign w:val="bottom"/>
            <w:tcBorders>
              <w:top w:val="single" w:sz="8" w:color="395796"/>
            </w:tcBorders>
          </w:tcPr>
          <w:p>
            <w:pPr>
              <w:spacing w:after="0"/>
              <w:rPr>
                <w:sz w:val="19"/>
                <w:szCs w:val="19"/>
                <w:color w:val="auto"/>
              </w:rPr>
            </w:pPr>
          </w:p>
        </w:tc>
        <w:tc>
          <w:tcPr>
            <w:tcW w:w="80" w:type="dxa"/>
            <w:vAlign w:val="bottom"/>
            <w:tcBorders>
              <w:top w:val="single" w:sz="8" w:color="FEFEFE"/>
            </w:tcBorders>
          </w:tcPr>
          <w:p>
            <w:pPr>
              <w:spacing w:after="0"/>
              <w:rPr>
                <w:sz w:val="19"/>
                <w:szCs w:val="19"/>
                <w:color w:val="auto"/>
              </w:rPr>
            </w:pPr>
          </w:p>
        </w:tc>
        <w:tc>
          <w:tcPr>
            <w:tcW w:w="840" w:type="dxa"/>
            <w:vAlign w:val="bottom"/>
            <w:tcBorders>
              <w:top w:val="single" w:sz="8" w:color="FEFEFE"/>
            </w:tcBorders>
          </w:tcPr>
          <w:p>
            <w:pPr>
              <w:spacing w:after="0"/>
              <w:rPr>
                <w:sz w:val="19"/>
                <w:szCs w:val="19"/>
                <w:color w:val="auto"/>
              </w:rPr>
            </w:pPr>
          </w:p>
        </w:tc>
        <w:tc>
          <w:tcPr>
            <w:tcW w:w="140" w:type="dxa"/>
            <w:vAlign w:val="bottom"/>
            <w:tcBorders>
              <w:top w:val="single" w:sz="8" w:color="FEFEFE"/>
            </w:tcBorders>
          </w:tcPr>
          <w:p>
            <w:pPr>
              <w:spacing w:after="0"/>
              <w:rPr>
                <w:sz w:val="19"/>
                <w:szCs w:val="19"/>
                <w:color w:val="auto"/>
              </w:rPr>
            </w:pPr>
          </w:p>
        </w:tc>
        <w:tc>
          <w:tcPr>
            <w:tcW w:w="820" w:type="dxa"/>
            <w:vAlign w:val="bottom"/>
            <w:tcBorders>
              <w:top w:val="single" w:sz="8" w:color="FEFEFE"/>
            </w:tcBorders>
            <w:gridSpan w:val="2"/>
          </w:tcPr>
          <w:p>
            <w:pPr>
              <w:jc w:val="right"/>
              <w:ind w:right="40"/>
              <w:spacing w:after="0"/>
              <w:rPr>
                <w:sz w:val="20"/>
                <w:szCs w:val="20"/>
                <w:color w:val="auto"/>
              </w:rPr>
            </w:pPr>
            <w:r>
              <w:rPr>
                <w:rFonts w:ascii="Arial" w:cs="Arial" w:eastAsia="Arial" w:hAnsi="Arial"/>
                <w:sz w:val="14"/>
                <w:szCs w:val="14"/>
                <w:b w:val="1"/>
                <w:bCs w:val="1"/>
                <w:color w:val="FFFFFF"/>
                <w:w w:val="97"/>
              </w:rPr>
              <w:t>Number of</w:t>
            </w:r>
          </w:p>
        </w:tc>
        <w:tc>
          <w:tcPr>
            <w:tcW w:w="120" w:type="dxa"/>
            <w:vAlign w:val="bottom"/>
            <w:tcBorders>
              <w:top w:val="single" w:sz="8" w:color="FEFEFE"/>
            </w:tcBorders>
          </w:tcPr>
          <w:p>
            <w:pPr>
              <w:spacing w:after="0"/>
              <w:rPr>
                <w:sz w:val="19"/>
                <w:szCs w:val="19"/>
                <w:color w:val="auto"/>
              </w:rPr>
            </w:pPr>
          </w:p>
        </w:tc>
        <w:tc>
          <w:tcPr>
            <w:tcW w:w="100" w:type="dxa"/>
            <w:vAlign w:val="bottom"/>
            <w:tcBorders>
              <w:top w:val="single" w:sz="8" w:color="FEFEFE"/>
            </w:tcBorders>
          </w:tcPr>
          <w:p>
            <w:pPr>
              <w:spacing w:after="0"/>
              <w:rPr>
                <w:sz w:val="19"/>
                <w:szCs w:val="19"/>
                <w:color w:val="auto"/>
              </w:rPr>
            </w:pPr>
          </w:p>
        </w:tc>
        <w:tc>
          <w:tcPr>
            <w:tcW w:w="660" w:type="dxa"/>
            <w:vAlign w:val="bottom"/>
            <w:tcBorders>
              <w:top w:val="single" w:sz="8" w:color="FEFEFE"/>
            </w:tcBorders>
          </w:tcPr>
          <w:p>
            <w:pPr>
              <w:jc w:val="right"/>
              <w:spacing w:after="0"/>
              <w:rPr>
                <w:sz w:val="20"/>
                <w:szCs w:val="20"/>
                <w:color w:val="auto"/>
              </w:rPr>
            </w:pPr>
            <w:r>
              <w:rPr>
                <w:rFonts w:ascii="Arial" w:cs="Arial" w:eastAsia="Arial" w:hAnsi="Arial"/>
                <w:sz w:val="14"/>
                <w:szCs w:val="14"/>
                <w:b w:val="1"/>
                <w:bCs w:val="1"/>
                <w:color w:val="FFFFFF"/>
              </w:rPr>
              <w:t>Market</w:t>
            </w:r>
          </w:p>
        </w:tc>
        <w:tc>
          <w:tcPr>
            <w:tcW w:w="60" w:type="dxa"/>
            <w:vAlign w:val="bottom"/>
            <w:tcBorders>
              <w:top w:val="single" w:sz="8" w:color="FEFEFE"/>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FFFFFF"/>
              </w:rPr>
              <w:t>Securities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FFFFFF"/>
              </w:rPr>
              <w:t>Securities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4"/>
                <w:szCs w:val="14"/>
                <w:b w:val="1"/>
                <w:bCs w:val="1"/>
                <w:color w:val="FFFFFF"/>
                <w:w w:val="97"/>
              </w:rPr>
              <w:t>Grant Date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Arial" w:cs="Arial" w:eastAsia="Arial" w:hAnsi="Arial"/>
                <w:sz w:val="14"/>
                <w:szCs w:val="14"/>
                <w:b w:val="1"/>
                <w:bCs w:val="1"/>
                <w:color w:val="FFFFFF"/>
                <w:w w:val="93"/>
              </w:rPr>
              <w:t>Shares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FFFFFF"/>
              </w:rPr>
              <w:t>Value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FFFFFF"/>
              </w:rPr>
              <w:t>Underlying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FFFFFF"/>
              </w:rPr>
              <w:t>Underlying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4"/>
                <w:szCs w:val="14"/>
                <w:b w:val="1"/>
                <w:bCs w:val="1"/>
                <w:color w:val="FFFFFF"/>
              </w:rPr>
              <w:t>of 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Arial" w:cs="Arial" w:eastAsia="Arial" w:hAnsi="Arial"/>
                <w:sz w:val="14"/>
                <w:szCs w:val="14"/>
                <w:b w:val="1"/>
                <w:bCs w:val="1"/>
                <w:color w:val="FFFFFF"/>
              </w:rPr>
              <w:t>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FFFFFF"/>
                <w:w w:val="97"/>
              </w:rPr>
              <w:t>Shares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FFFFFF"/>
                <w:w w:val="93"/>
              </w:rPr>
              <w:t>Unexercised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FFFFFF"/>
                <w:w w:val="98"/>
              </w:rPr>
              <w:t>Unexercised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FFFFFF"/>
                <w:w w:val="97"/>
              </w:rPr>
              <w:t>Option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4"/>
                <w:szCs w:val="14"/>
                <w:b w:val="1"/>
                <w:bCs w:val="1"/>
                <w:color w:val="FFFFFF"/>
              </w:rPr>
              <w:t>of Stock</w:t>
            </w:r>
          </w:p>
        </w:tc>
        <w:tc>
          <w:tcPr>
            <w:tcW w:w="14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FFFFFF"/>
              </w:rPr>
              <w:t>That Have</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FFFFFF"/>
              </w:rPr>
              <w:t>Stock That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FFFFFF"/>
              </w:rPr>
              <w:t>Options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FFFFFF"/>
              </w:rPr>
              <w:t>Options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FFFFFF"/>
                <w:w w:val="93"/>
              </w:rPr>
              <w:t>Exercise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FFFFFF"/>
              </w:rPr>
              <w:t>Option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41"/>
              <w:spacing w:after="0"/>
              <w:rPr>
                <w:sz w:val="20"/>
                <w:szCs w:val="20"/>
                <w:color w:val="auto"/>
              </w:rPr>
            </w:pPr>
            <w:r>
              <w:rPr>
                <w:rFonts w:ascii="Arial" w:cs="Arial" w:eastAsia="Arial" w:hAnsi="Arial"/>
                <w:sz w:val="14"/>
                <w:szCs w:val="14"/>
                <w:b w:val="1"/>
                <w:bCs w:val="1"/>
                <w:color w:val="FFFFFF"/>
              </w:rPr>
              <w:t>That Have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Arial" w:cs="Arial" w:eastAsia="Arial" w:hAnsi="Arial"/>
                <w:sz w:val="14"/>
                <w:szCs w:val="14"/>
                <w:b w:val="1"/>
                <w:bCs w:val="1"/>
                <w:color w:val="FFFFFF"/>
              </w:rPr>
              <w:t>Not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FFFFFF"/>
              </w:rPr>
              <w:t>Have Not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FFFFFF"/>
                <w:w w:val="95"/>
              </w:rPr>
              <w:t>Exercisable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FFFFFF"/>
                <w:w w:val="94"/>
              </w:rPr>
              <w:t>Unexercisable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FFFFFF"/>
              </w:rPr>
              <w:t>Price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FFFFFF"/>
                <w:w w:val="99"/>
              </w:rPr>
              <w:t>Expiration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41"/>
              <w:spacing w:after="0" w:line="149" w:lineRule="exact"/>
              <w:rPr>
                <w:sz w:val="20"/>
                <w:szCs w:val="20"/>
                <w:color w:val="auto"/>
              </w:rPr>
            </w:pPr>
            <w:r>
              <w:rPr>
                <w:rFonts w:ascii="Arial" w:cs="Arial" w:eastAsia="Arial" w:hAnsi="Arial"/>
                <w:sz w:val="14"/>
                <w:szCs w:val="14"/>
                <w:b w:val="1"/>
                <w:bCs w:val="1"/>
                <w:color w:val="FFFFFF"/>
              </w:rPr>
              <w:t>Not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FFFFFF"/>
              </w:rPr>
              <w:t>Vested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FFFFFF"/>
              </w:rPr>
              <w:t>Vested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FFFFFF"/>
              </w:rPr>
              <w:t>​</w:t>
            </w:r>
          </w:p>
        </w:tc>
        <w:tc>
          <w:tcPr>
            <w:tcW w:w="80" w:type="dxa"/>
            <w:vAlign w:val="bottom"/>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FFFFFF"/>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2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FFFFFF"/>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500" w:type="dxa"/>
            <w:vAlign w:val="bottom"/>
          </w:tcPr>
          <w:p>
            <w:pPr>
              <w:jc w:val="right"/>
              <w:spacing w:after="0" w:line="184"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(1)</w:t>
            </w:r>
          </w:p>
        </w:tc>
        <w:tc>
          <w:tcPr>
            <w:tcW w:w="80" w:type="dxa"/>
            <w:vAlign w:val="bottom"/>
          </w:tcPr>
          <w:p>
            <w:pPr>
              <w:spacing w:after="0"/>
              <w:rPr>
                <w:sz w:val="15"/>
                <w:szCs w:val="15"/>
                <w:color w:val="auto"/>
              </w:rPr>
            </w:pPr>
          </w:p>
        </w:tc>
        <w:tc>
          <w:tcPr>
            <w:tcW w:w="140" w:type="dxa"/>
            <w:vAlign w:val="bottom"/>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FFFFFF"/>
              </w:rPr>
              <w:t>​</w:t>
            </w:r>
          </w:p>
        </w:tc>
        <w:tc>
          <w:tcPr>
            <w:tcW w:w="740" w:type="dxa"/>
            <w:vAlign w:val="bottom"/>
          </w:tcPr>
          <w:p>
            <w:pPr>
              <w:jc w:val="right"/>
              <w:spacing w:after="0" w:line="184" w:lineRule="exact"/>
              <w:rPr>
                <w:sz w:val="20"/>
                <w:szCs w:val="20"/>
                <w:color w:val="auto"/>
              </w:rPr>
            </w:pPr>
            <w:r>
              <w:rPr>
                <w:rFonts w:ascii="Arial" w:cs="Arial" w:eastAsia="Arial" w:hAnsi="Arial"/>
                <w:sz w:val="14"/>
                <w:szCs w:val="14"/>
                <w:b w:val="1"/>
                <w:bCs w:val="1"/>
                <w:color w:val="FFFFFF"/>
              </w:rPr>
              <w:t>Date</w:t>
            </w:r>
            <w:r>
              <w:rPr>
                <w:rFonts w:ascii="Arial" w:cs="Arial" w:eastAsia="Arial" w:hAnsi="Arial"/>
                <w:sz w:val="17"/>
                <w:szCs w:val="17"/>
                <w:b w:val="1"/>
                <w:bCs w:val="1"/>
                <w:color w:val="FFFFFF"/>
                <w:vertAlign w:val="superscript"/>
              </w:rPr>
              <w:t>(2)</w:t>
            </w:r>
          </w:p>
        </w:tc>
        <w:tc>
          <w:tcPr>
            <w:tcW w:w="60" w:type="dxa"/>
            <w:vAlign w:val="bottom"/>
          </w:tcPr>
          <w:p>
            <w:pPr>
              <w:spacing w:after="0"/>
              <w:rPr>
                <w:sz w:val="15"/>
                <w:szCs w:val="15"/>
                <w:color w:val="auto"/>
              </w:rPr>
            </w:pPr>
          </w:p>
        </w:tc>
        <w:tc>
          <w:tcPr>
            <w:tcW w:w="120" w:type="dxa"/>
            <w:vAlign w:val="bottom"/>
          </w:tcPr>
          <w:p>
            <w:pPr>
              <w:jc w:val="center"/>
              <w:spacing w:after="0"/>
              <w:rPr>
                <w:sz w:val="20"/>
                <w:szCs w:val="20"/>
                <w:color w:val="auto"/>
              </w:rPr>
            </w:pPr>
            <w:r>
              <w:rPr>
                <w:rFonts w:ascii="Arial" w:cs="Arial" w:eastAsia="Arial" w:hAnsi="Arial"/>
                <w:sz w:val="14"/>
                <w:szCs w:val="14"/>
                <w:b w:val="1"/>
                <w:bCs w:val="1"/>
                <w:color w:val="FFFFFF"/>
              </w:rPr>
              <w:t>​</w:t>
            </w:r>
          </w:p>
        </w:tc>
        <w:tc>
          <w:tcPr>
            <w:tcW w:w="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FFFFFF"/>
              </w:rPr>
              <w:t>​</w:t>
            </w:r>
          </w:p>
        </w:tc>
        <w:tc>
          <w:tcPr>
            <w:tcW w:w="840" w:type="dxa"/>
            <w:vAlign w:val="bottom"/>
          </w:tcPr>
          <w:p>
            <w:pPr>
              <w:jc w:val="right"/>
              <w:ind w:right="1"/>
              <w:spacing w:after="0"/>
              <w:rPr>
                <w:sz w:val="20"/>
                <w:szCs w:val="20"/>
                <w:color w:val="auto"/>
              </w:rPr>
            </w:pPr>
            <w:r>
              <w:rPr>
                <w:rFonts w:ascii="Arial" w:cs="Arial" w:eastAsia="Arial" w:hAnsi="Arial"/>
                <w:sz w:val="14"/>
                <w:szCs w:val="14"/>
                <w:b w:val="1"/>
                <w:bCs w:val="1"/>
                <w:color w:val="FFFFFF"/>
              </w:rPr>
              <w:t>Vested</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740" w:type="dxa"/>
            <w:vAlign w:val="bottom"/>
          </w:tcPr>
          <w:p>
            <w:pPr>
              <w:jc w:val="right"/>
              <w:spacing w:after="0" w:line="184"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(3)</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780" w:type="dxa"/>
            <w:vAlign w:val="bottom"/>
            <w:gridSpan w:val="3"/>
          </w:tcPr>
          <w:p>
            <w:pPr>
              <w:jc w:val="right"/>
              <w:spacing w:after="0" w:line="184"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14"/>
                <w:szCs w:val="14"/>
                <w:b w:val="1"/>
                <w:bCs w:val="1"/>
                <w:color w:val="FFFFFF"/>
                <w:vertAlign w:val="superscript"/>
              </w:rPr>
              <w:t>(4)</w:t>
            </w:r>
            <w:r>
              <w:rPr>
                <w:rFonts w:ascii="Arial" w:cs="Arial" w:eastAsia="Arial" w:hAnsi="Arial"/>
                <w:sz w:val="12"/>
                <w:szCs w:val="12"/>
                <w:b w:val="1"/>
                <w:bCs w:val="1"/>
                <w:color w:val="FFFFFF"/>
              </w:rPr>
              <w:t xml:space="preserve"> </w:t>
            </w:r>
            <w:r>
              <w:rPr>
                <w:rFonts w:ascii="Arial" w:cs="Arial" w:eastAsia="Arial" w:hAnsi="Arial"/>
                <w:sz w:val="21"/>
                <w:szCs w:val="21"/>
                <w:b w:val="1"/>
                <w:bCs w:val="1"/>
                <w:color w:val="FFFFFF"/>
                <w:vertAlign w:val="subscript"/>
              </w:rPr>
              <w: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16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 ​</w:t>
            </w:r>
          </w:p>
        </w:tc>
        <w:tc>
          <w:tcPr>
            <w:tcW w:w="800" w:type="dxa"/>
            <w:vAlign w:val="bottom"/>
          </w:tcPr>
          <w:p>
            <w:pPr>
              <w:spacing w:after="0"/>
              <w:rPr>
                <w:sz w:val="14"/>
                <w:szCs w:val="14"/>
                <w:color w:val="auto"/>
              </w:rPr>
            </w:pPr>
          </w:p>
        </w:tc>
        <w:tc>
          <w:tcPr>
            <w:tcW w:w="34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 ​ ​</w:t>
            </w:r>
          </w:p>
        </w:tc>
        <w:tc>
          <w:tcPr>
            <w:tcW w:w="860" w:type="dxa"/>
            <w:vAlign w:val="bottom"/>
          </w:tcPr>
          <w:p>
            <w:pPr>
              <w:spacing w:after="0"/>
              <w:rPr>
                <w:sz w:val="14"/>
                <w:szCs w:val="14"/>
                <w:color w:val="auto"/>
              </w:rPr>
            </w:pPr>
          </w:p>
        </w:tc>
        <w:tc>
          <w:tcPr>
            <w:tcW w:w="340" w:type="dxa"/>
            <w:vAlign w:val="bottom"/>
            <w:gridSpan w:val="3"/>
          </w:tcPr>
          <w:p>
            <w:pPr>
              <w:jc w:val="right"/>
              <w:spacing w:after="0" w:line="162" w:lineRule="exact"/>
              <w:rPr>
                <w:sz w:val="20"/>
                <w:szCs w:val="20"/>
                <w:color w:val="auto"/>
              </w:rPr>
            </w:pPr>
            <w:r>
              <w:rPr>
                <w:rFonts w:ascii="Arial" w:cs="Arial" w:eastAsia="Arial" w:hAnsi="Arial"/>
                <w:sz w:val="16"/>
                <w:szCs w:val="16"/>
                <w:color w:val="auto"/>
              </w:rPr>
              <w:t>​ ​ ​</w:t>
            </w:r>
          </w:p>
        </w:tc>
        <w:tc>
          <w:tcPr>
            <w:tcW w:w="500" w:type="dxa"/>
            <w:vAlign w:val="bottom"/>
          </w:tcPr>
          <w:p>
            <w:pPr>
              <w:spacing w:after="0"/>
              <w:rPr>
                <w:sz w:val="14"/>
                <w:szCs w:val="14"/>
                <w:color w:val="auto"/>
              </w:rPr>
            </w:pPr>
          </w:p>
        </w:tc>
        <w:tc>
          <w:tcPr>
            <w:tcW w:w="340" w:type="dxa"/>
            <w:vAlign w:val="bottom"/>
            <w:gridSpan w:val="3"/>
          </w:tcPr>
          <w:p>
            <w:pPr>
              <w:jc w:val="center"/>
              <w:spacing w:after="0" w:line="162" w:lineRule="exact"/>
              <w:rPr>
                <w:sz w:val="20"/>
                <w:szCs w:val="20"/>
                <w:color w:val="auto"/>
              </w:rPr>
            </w:pPr>
            <w:r>
              <w:rPr>
                <w:rFonts w:ascii="Arial" w:cs="Arial" w:eastAsia="Arial" w:hAnsi="Arial"/>
                <w:sz w:val="16"/>
                <w:szCs w:val="16"/>
                <w:color w:val="auto"/>
              </w:rPr>
              <w:t>​ ​ ​</w:t>
            </w:r>
          </w:p>
        </w:tc>
        <w:tc>
          <w:tcPr>
            <w:tcW w:w="740" w:type="dxa"/>
            <w:vAlign w:val="bottom"/>
          </w:tcPr>
          <w:p>
            <w:pPr>
              <w:spacing w:after="0"/>
              <w:rPr>
                <w:sz w:val="14"/>
                <w:szCs w:val="14"/>
                <w:color w:val="auto"/>
              </w:rPr>
            </w:pPr>
          </w:p>
        </w:tc>
        <w:tc>
          <w:tcPr>
            <w:tcW w:w="320" w:type="dxa"/>
            <w:vAlign w:val="bottom"/>
            <w:gridSpan w:val="4"/>
          </w:tcPr>
          <w:p>
            <w:pPr>
              <w:jc w:val="center"/>
              <w:spacing w:after="0" w:line="162" w:lineRule="exact"/>
              <w:rPr>
                <w:sz w:val="20"/>
                <w:szCs w:val="20"/>
                <w:color w:val="auto"/>
              </w:rPr>
            </w:pPr>
            <w:r>
              <w:rPr>
                <w:rFonts w:ascii="Arial" w:cs="Arial" w:eastAsia="Arial" w:hAnsi="Arial"/>
                <w:sz w:val="16"/>
                <w:szCs w:val="16"/>
                <w:color w:val="auto"/>
              </w:rPr>
              <w:t>​ ​ ​</w:t>
            </w:r>
          </w:p>
        </w:tc>
        <w:tc>
          <w:tcPr>
            <w:tcW w:w="8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 ​</w:t>
            </w:r>
          </w:p>
        </w:tc>
        <w:tc>
          <w:tcPr>
            <w:tcW w:w="74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 ​</w:t>
            </w:r>
          </w:p>
        </w:tc>
        <w:tc>
          <w:tcPr>
            <w:tcW w:w="660" w:type="dxa"/>
            <w:vAlign w:val="bottom"/>
          </w:tcPr>
          <w:p>
            <w:pPr>
              <w:spacing w:after="0"/>
              <w:rPr>
                <w:sz w:val="14"/>
                <w:szCs w:val="14"/>
                <w:color w:val="auto"/>
              </w:rPr>
            </w:pPr>
          </w:p>
        </w:tc>
        <w:tc>
          <w:tcPr>
            <w:tcW w:w="12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6/8/2022</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4,675</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32,585</w:t>
            </w:r>
          </w:p>
        </w:tc>
        <w:tc>
          <w:tcPr>
            <w:tcW w:w="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920" w:type="dxa"/>
            <w:vAlign w:val="bottom"/>
            <w:gridSpan w:val="2"/>
          </w:tcPr>
          <w:p>
            <w:pP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10/11/2022</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1,417</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9,876</w:t>
            </w:r>
          </w:p>
        </w:tc>
        <w:tc>
          <w:tcPr>
            <w:tcW w:w="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3/7/2023</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11,798</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82,232</w:t>
            </w:r>
          </w:p>
        </w:tc>
        <w:tc>
          <w:tcPr>
            <w:tcW w:w="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2/16/2024</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17,698</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123,355</w:t>
            </w:r>
          </w:p>
        </w:tc>
        <w:tc>
          <w:tcPr>
            <w:tcW w:w="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34,686</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12.68</w:t>
            </w:r>
          </w:p>
        </w:tc>
        <w:tc>
          <w:tcPr>
            <w:tcW w:w="8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3/31/2026</w:t>
            </w:r>
          </w:p>
        </w:tc>
        <w:tc>
          <w:tcPr>
            <w:tcW w:w="6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38,352</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12,784</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8.09</w:t>
            </w:r>
          </w:p>
        </w:tc>
        <w:tc>
          <w:tcPr>
            <w:tcW w:w="8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5/2/2027</w:t>
            </w:r>
          </w:p>
        </w:tc>
        <w:tc>
          <w:tcPr>
            <w:tcW w:w="6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11,546</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3,848</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8.82</w:t>
            </w:r>
          </w:p>
        </w:tc>
        <w:tc>
          <w:tcPr>
            <w:tcW w:w="8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860" w:type="dxa"/>
            <w:vAlign w:val="bottom"/>
            <w:gridSpan w:val="2"/>
          </w:tcPr>
          <w:p>
            <w:pPr>
              <w:ind w:left="2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10/11/2027</w:t>
            </w:r>
          </w:p>
        </w:tc>
        <w:tc>
          <w:tcPr>
            <w:tcW w:w="6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28,036</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28,036</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9.81</w:t>
            </w:r>
          </w:p>
        </w:tc>
        <w:tc>
          <w:tcPr>
            <w:tcW w:w="8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3/7/2028</w:t>
            </w:r>
          </w:p>
        </w:tc>
        <w:tc>
          <w:tcPr>
            <w:tcW w:w="6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14,018</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42,054</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5.03</w:t>
            </w:r>
          </w:p>
        </w:tc>
        <w:tc>
          <w:tcPr>
            <w:tcW w:w="8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2/16/2029</w:t>
            </w:r>
          </w:p>
        </w:tc>
        <w:tc>
          <w:tcPr>
            <w:tcW w:w="6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5.75</w:t>
            </w:r>
          </w:p>
        </w:tc>
        <w:tc>
          <w:tcPr>
            <w:tcW w:w="8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3/3/2030</w:t>
            </w:r>
          </w:p>
        </w:tc>
        <w:tc>
          <w:tcPr>
            <w:tcW w:w="6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60" w:type="dxa"/>
            <w:vAlign w:val="bottom"/>
            <w:tcBorders>
              <w:bottom w:val="single" w:sz="8" w:color="D8D8D8"/>
            </w:tcBorders>
            <w:gridSpan w:val="3"/>
            <w:shd w:val="clear" w:color="auto" w:fill="D8D8D8"/>
          </w:tcPr>
          <w:p>
            <w:pPr>
              <w:jc w:val="right"/>
              <w:spacing w:after="0" w:line="175" w:lineRule="exact"/>
              <w:rPr>
                <w:sz w:val="20"/>
                <w:szCs w:val="20"/>
                <w:color w:val="auto"/>
              </w:rPr>
            </w:pPr>
            <w:r>
              <w:rPr>
                <w:rFonts w:ascii="Arial" w:cs="Arial" w:eastAsia="Arial" w:hAnsi="Arial"/>
                <w:sz w:val="16"/>
                <w:szCs w:val="16"/>
                <w:color w:val="auto"/>
              </w:rPr>
              <w:t>​ ​</w:t>
            </w:r>
          </w:p>
        </w:tc>
        <w:tc>
          <w:tcPr>
            <w:tcW w:w="800" w:type="dxa"/>
            <w:vAlign w:val="bottom"/>
            <w:tcBorders>
              <w:bottom w:val="single" w:sz="8" w:color="D8D8D8"/>
            </w:tcBorders>
            <w:shd w:val="clear" w:color="auto" w:fill="D8D8D8"/>
          </w:tcPr>
          <w:p>
            <w:pPr>
              <w:spacing w:after="0"/>
              <w:rPr>
                <w:sz w:val="15"/>
                <w:szCs w:val="15"/>
                <w:color w:val="auto"/>
              </w:rPr>
            </w:pPr>
          </w:p>
        </w:tc>
        <w:tc>
          <w:tcPr>
            <w:tcW w:w="340" w:type="dxa"/>
            <w:vAlign w:val="bottom"/>
            <w:tcBorders>
              <w:bottom w:val="single" w:sz="8" w:color="D8D8D8"/>
            </w:tcBorders>
            <w:gridSpan w:val="3"/>
            <w:shd w:val="clear" w:color="auto" w:fill="D8D8D8"/>
          </w:tcPr>
          <w:p>
            <w:pPr>
              <w:jc w:val="right"/>
              <w:spacing w:after="0" w:line="175" w:lineRule="exact"/>
              <w:rPr>
                <w:sz w:val="20"/>
                <w:szCs w:val="20"/>
                <w:color w:val="auto"/>
              </w:rPr>
            </w:pPr>
            <w:r>
              <w:rPr>
                <w:rFonts w:ascii="Arial" w:cs="Arial" w:eastAsia="Arial" w:hAnsi="Arial"/>
                <w:sz w:val="16"/>
                <w:szCs w:val="16"/>
                <w:color w:val="auto"/>
              </w:rPr>
              <w:t>​ ​ ​</w:t>
            </w:r>
          </w:p>
        </w:tc>
        <w:tc>
          <w:tcPr>
            <w:tcW w:w="860" w:type="dxa"/>
            <w:vAlign w:val="bottom"/>
            <w:tcBorders>
              <w:bottom w:val="single" w:sz="8" w:color="D8D8D8"/>
            </w:tcBorders>
            <w:shd w:val="clear" w:color="auto" w:fill="D8D8D8"/>
          </w:tcPr>
          <w:p>
            <w:pPr>
              <w:spacing w:after="0"/>
              <w:rPr>
                <w:sz w:val="15"/>
                <w:szCs w:val="15"/>
                <w:color w:val="auto"/>
              </w:rPr>
            </w:pPr>
          </w:p>
        </w:tc>
        <w:tc>
          <w:tcPr>
            <w:tcW w:w="340" w:type="dxa"/>
            <w:vAlign w:val="bottom"/>
            <w:tcBorders>
              <w:bottom w:val="single" w:sz="8" w:color="D8D8D8"/>
            </w:tcBorders>
            <w:gridSpan w:val="3"/>
            <w:shd w:val="clear" w:color="auto" w:fill="D8D8D8"/>
          </w:tcPr>
          <w:p>
            <w:pPr>
              <w:jc w:val="right"/>
              <w:spacing w:after="0" w:line="175" w:lineRule="exact"/>
              <w:rPr>
                <w:sz w:val="20"/>
                <w:szCs w:val="20"/>
                <w:color w:val="auto"/>
              </w:rPr>
            </w:pPr>
            <w:r>
              <w:rPr>
                <w:rFonts w:ascii="Arial" w:cs="Arial" w:eastAsia="Arial" w:hAnsi="Arial"/>
                <w:sz w:val="16"/>
                <w:szCs w:val="16"/>
                <w:color w:val="auto"/>
              </w:rPr>
              <w:t>​ ​ ​</w:t>
            </w:r>
          </w:p>
        </w:tc>
        <w:tc>
          <w:tcPr>
            <w:tcW w:w="500" w:type="dxa"/>
            <w:vAlign w:val="bottom"/>
            <w:tcBorders>
              <w:bottom w:val="single" w:sz="8" w:color="D8D8D8"/>
            </w:tcBorders>
            <w:shd w:val="clear" w:color="auto" w:fill="D8D8D8"/>
          </w:tcPr>
          <w:p>
            <w:pPr>
              <w:spacing w:after="0"/>
              <w:rPr>
                <w:sz w:val="15"/>
                <w:szCs w:val="15"/>
                <w:color w:val="auto"/>
              </w:rPr>
            </w:pPr>
          </w:p>
        </w:tc>
        <w:tc>
          <w:tcPr>
            <w:tcW w:w="340" w:type="dxa"/>
            <w:vAlign w:val="bottom"/>
            <w:tcBorders>
              <w:bottom w:val="single" w:sz="8" w:color="D8D8D8"/>
            </w:tcBorders>
            <w:gridSpan w:val="3"/>
            <w:shd w:val="clear" w:color="auto" w:fill="D8D8D8"/>
          </w:tcPr>
          <w:p>
            <w:pPr>
              <w:jc w:val="center"/>
              <w:spacing w:after="0" w:line="175" w:lineRule="exact"/>
              <w:rPr>
                <w:sz w:val="20"/>
                <w:szCs w:val="20"/>
                <w:color w:val="auto"/>
              </w:rPr>
            </w:pPr>
            <w:r>
              <w:rPr>
                <w:rFonts w:ascii="Arial" w:cs="Arial" w:eastAsia="Arial" w:hAnsi="Arial"/>
                <w:sz w:val="16"/>
                <w:szCs w:val="16"/>
                <w:color w:val="auto"/>
              </w:rPr>
              <w:t>​ ​ ​</w:t>
            </w:r>
          </w:p>
        </w:tc>
        <w:tc>
          <w:tcPr>
            <w:tcW w:w="740" w:type="dxa"/>
            <w:vAlign w:val="bottom"/>
            <w:tcBorders>
              <w:bottom w:val="single" w:sz="8" w:color="D8D8D8"/>
            </w:tcBorders>
            <w:shd w:val="clear" w:color="auto" w:fill="D8D8D8"/>
          </w:tcPr>
          <w:p>
            <w:pPr>
              <w:spacing w:after="0"/>
              <w:rPr>
                <w:sz w:val="15"/>
                <w:szCs w:val="15"/>
                <w:color w:val="auto"/>
              </w:rPr>
            </w:pPr>
          </w:p>
        </w:tc>
        <w:tc>
          <w:tcPr>
            <w:tcW w:w="320" w:type="dxa"/>
            <w:vAlign w:val="bottom"/>
            <w:tcBorders>
              <w:bottom w:val="single" w:sz="8" w:color="D8D8D8"/>
            </w:tcBorders>
            <w:gridSpan w:val="4"/>
            <w:shd w:val="clear" w:color="auto" w:fill="D8D8D8"/>
          </w:tcPr>
          <w:p>
            <w:pPr>
              <w:jc w:val="center"/>
              <w:spacing w:after="0" w:line="175" w:lineRule="exact"/>
              <w:rPr>
                <w:sz w:val="20"/>
                <w:szCs w:val="20"/>
                <w:color w:val="auto"/>
              </w:rPr>
            </w:pPr>
            <w:r>
              <w:rPr>
                <w:rFonts w:ascii="Arial" w:cs="Arial" w:eastAsia="Arial" w:hAnsi="Arial"/>
                <w:sz w:val="16"/>
                <w:szCs w:val="16"/>
                <w:color w:val="auto"/>
              </w:rPr>
              <w:t>​ ​ ​</w:t>
            </w:r>
          </w:p>
        </w:tc>
        <w:tc>
          <w:tcPr>
            <w:tcW w:w="840" w:type="dxa"/>
            <w:vAlign w:val="bottom"/>
            <w:tcBorders>
              <w:bottom w:val="single" w:sz="8" w:color="D8D8D8"/>
            </w:tcBorders>
            <w:shd w:val="clear" w:color="auto" w:fill="D8D8D8"/>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D8D8D8"/>
            </w:tcBorders>
            <w:gridSpan w:val="2"/>
            <w:shd w:val="clear" w:color="auto" w:fill="D8D8D8"/>
          </w:tcPr>
          <w:p>
            <w:pPr>
              <w:jc w:val="right"/>
              <w:spacing w:after="0" w:line="175" w:lineRule="exact"/>
              <w:rPr>
                <w:sz w:val="20"/>
                <w:szCs w:val="20"/>
                <w:color w:val="auto"/>
              </w:rPr>
            </w:pPr>
            <w:r>
              <w:rPr>
                <w:rFonts w:ascii="Arial" w:cs="Arial" w:eastAsia="Arial" w:hAnsi="Arial"/>
                <w:sz w:val="16"/>
                <w:szCs w:val="16"/>
                <w:color w:val="auto"/>
              </w:rPr>
              <w:t>​ ​</w:t>
            </w:r>
          </w:p>
        </w:tc>
        <w:tc>
          <w:tcPr>
            <w:tcW w:w="740" w:type="dxa"/>
            <w:vAlign w:val="bottom"/>
            <w:tcBorders>
              <w:bottom w:val="single" w:sz="8" w:color="D8D8D8"/>
            </w:tcBorders>
            <w:shd w:val="clear" w:color="auto" w:fill="D8D8D8"/>
          </w:tcPr>
          <w:p>
            <w:pPr>
              <w:jc w:val="right"/>
              <w:spacing w:after="0" w:line="175"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D8D8D8"/>
            </w:tcBorders>
            <w:gridSpan w:val="2"/>
            <w:shd w:val="clear" w:color="auto" w:fill="D8D8D8"/>
          </w:tcPr>
          <w:p>
            <w:pPr>
              <w:jc w:val="right"/>
              <w:spacing w:after="0" w:line="175" w:lineRule="exact"/>
              <w:rPr>
                <w:sz w:val="20"/>
                <w:szCs w:val="20"/>
                <w:color w:val="auto"/>
              </w:rPr>
            </w:pPr>
            <w:r>
              <w:rPr>
                <w:rFonts w:ascii="Arial" w:cs="Arial" w:eastAsia="Arial" w:hAnsi="Arial"/>
                <w:sz w:val="16"/>
                <w:szCs w:val="16"/>
                <w:color w:val="auto"/>
              </w:rPr>
              <w:t>​ ​</w:t>
            </w:r>
          </w:p>
        </w:tc>
        <w:tc>
          <w:tcPr>
            <w:tcW w:w="660" w:type="dxa"/>
            <w:vAlign w:val="bottom"/>
            <w:tcBorders>
              <w:bottom w:val="single" w:sz="8" w:color="D8D8D8"/>
            </w:tcBorders>
            <w:shd w:val="clear" w:color="auto" w:fill="D8D8D8"/>
          </w:tcPr>
          <w:p>
            <w:pPr>
              <w:spacing w:after="0"/>
              <w:rPr>
                <w:sz w:val="15"/>
                <w:szCs w:val="15"/>
                <w:color w:val="auto"/>
              </w:rPr>
            </w:pPr>
          </w:p>
        </w:tc>
        <w:tc>
          <w:tcPr>
            <w:tcW w:w="60" w:type="dxa"/>
            <w:vAlign w:val="bottom"/>
            <w:tcBorders>
              <w:bottom w:val="single" w:sz="8" w:color="D8D8D8"/>
              <w:right w:val="single" w:sz="8" w:color="D8D8D8"/>
            </w:tcBorders>
            <w:shd w:val="clear" w:color="auto" w:fill="D8D8D8"/>
          </w:tcPr>
          <w:p>
            <w:pPr>
              <w:spacing w:after="0" w:line="175" w:lineRule="exact"/>
              <w:rPr>
                <w:sz w:val="20"/>
                <w:szCs w:val="20"/>
                <w:color w:val="auto"/>
              </w:rPr>
            </w:pPr>
            <w:r>
              <w:rPr>
                <w:rFonts w:ascii="Arial" w:cs="Arial" w:eastAsia="Arial" w:hAnsi="Arial"/>
                <w:sz w:val="16"/>
                <w:szCs w:val="16"/>
                <w:color w:val="auto"/>
              </w:rPr>
              <w:t>​</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D8D8D8"/>
          </w:tcPr>
          <w:p>
            <w:pPr>
              <w:spacing w:after="0"/>
              <w:rPr>
                <w:sz w:val="18"/>
                <w:szCs w:val="18"/>
                <w:color w:val="auto"/>
              </w:rPr>
            </w:pPr>
          </w:p>
        </w:tc>
        <w:tc>
          <w:tcPr>
            <w:tcW w:w="8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spacing w:after="0"/>
              <w:rPr>
                <w:sz w:val="18"/>
                <w:szCs w:val="18"/>
                <w:color w:val="auto"/>
              </w:rPr>
            </w:pPr>
          </w:p>
        </w:tc>
        <w:tc>
          <w:tcPr>
            <w:tcW w:w="6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D8D8D8"/>
          </w:tcPr>
          <w:p>
            <w:pPr>
              <w:spacing w:after="0"/>
              <w:rPr>
                <w:sz w:val="18"/>
                <w:szCs w:val="18"/>
                <w:color w:val="auto"/>
              </w:rPr>
            </w:pPr>
          </w:p>
        </w:tc>
        <w:tc>
          <w:tcPr>
            <w:tcW w:w="8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D8D8D8"/>
          </w:tcPr>
          <w:p>
            <w:pPr>
              <w:jc w:val="right"/>
              <w:ind w:right="1"/>
              <w:spacing w:after="0"/>
              <w:rPr>
                <w:sz w:val="20"/>
                <w:szCs w:val="20"/>
                <w:color w:val="auto"/>
              </w:rPr>
            </w:pPr>
            <w:r>
              <w:rPr>
                <w:rFonts w:ascii="Arial" w:cs="Arial" w:eastAsia="Arial" w:hAnsi="Arial"/>
                <w:sz w:val="16"/>
                <w:szCs w:val="16"/>
                <w:color w:val="auto"/>
              </w:rPr>
              <w:t>6/8/2022</w:t>
            </w:r>
          </w:p>
        </w:tc>
        <w:tc>
          <w:tcPr>
            <w:tcW w:w="140" w:type="dxa"/>
            <w:vAlign w:val="bottom"/>
            <w:shd w:val="clear" w:color="auto" w:fill="D8D8D8"/>
          </w:tcPr>
          <w:p>
            <w:pPr>
              <w:ind w:left="40"/>
              <w:spacing w:after="0"/>
              <w:rPr>
                <w:sz w:val="20"/>
                <w:szCs w:val="20"/>
                <w:color w:val="auto"/>
              </w:rPr>
            </w:pPr>
            <w:r>
              <w:rPr>
                <w:rFonts w:ascii="Arial" w:cs="Arial" w:eastAsia="Arial" w:hAnsi="Arial"/>
                <w:sz w:val="16"/>
                <w:szCs w:val="16"/>
                <w:color w:val="auto"/>
              </w:rPr>
              <w:t>​</w:t>
            </w:r>
          </w:p>
        </w:tc>
        <w:tc>
          <w:tcPr>
            <w:tcW w:w="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3,432</w:t>
            </w:r>
          </w:p>
        </w:tc>
        <w:tc>
          <w:tcPr>
            <w:tcW w:w="120" w:type="dxa"/>
            <w:vAlign w:val="bottom"/>
            <w:shd w:val="clear" w:color="auto" w:fill="D8D8D8"/>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23,921</w:t>
            </w:r>
          </w:p>
        </w:tc>
        <w:tc>
          <w:tcPr>
            <w:tcW w:w="60" w:type="dxa"/>
            <w:vAlign w:val="bottom"/>
            <w:tcBorders>
              <w:right w:val="single" w:sz="8" w:color="D8D8D8"/>
            </w:tcBorders>
            <w:shd w:val="clear" w:color="auto" w:fill="D8D8D8"/>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8D8D8"/>
          </w:tcPr>
          <w:p>
            <w:pPr>
              <w:spacing w:after="0"/>
              <w:rPr>
                <w:sz w:val="21"/>
                <w:szCs w:val="21"/>
                <w:color w:val="auto"/>
              </w:rPr>
            </w:pPr>
          </w:p>
        </w:tc>
        <w:tc>
          <w:tcPr>
            <w:tcW w:w="12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D8D8D8"/>
          </w:tcPr>
          <w:p>
            <w:pPr>
              <w:spacing w:after="0"/>
              <w:rPr>
                <w:sz w:val="21"/>
                <w:szCs w:val="21"/>
                <w:color w:val="auto"/>
              </w:rPr>
            </w:pPr>
          </w:p>
        </w:tc>
        <w:tc>
          <w:tcPr>
            <w:tcW w:w="12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D8D8D8"/>
          </w:tcPr>
          <w:p>
            <w:pPr>
              <w:spacing w:after="0"/>
              <w:rPr>
                <w:sz w:val="21"/>
                <w:szCs w:val="21"/>
                <w:color w:val="auto"/>
              </w:rPr>
            </w:pPr>
          </w:p>
        </w:tc>
        <w:tc>
          <w:tcPr>
            <w:tcW w:w="8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120" w:type="dxa"/>
            <w:vAlign w:val="bottom"/>
            <w:shd w:val="clear" w:color="auto" w:fill="D8D8D8"/>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spacing w:after="0"/>
              <w:rPr>
                <w:sz w:val="21"/>
                <w:szCs w:val="21"/>
                <w:color w:val="auto"/>
              </w:rPr>
            </w:pPr>
          </w:p>
        </w:tc>
        <w:tc>
          <w:tcPr>
            <w:tcW w:w="6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D8D8D8"/>
          </w:tcPr>
          <w:p>
            <w:pPr>
              <w:spacing w:after="0"/>
              <w:rPr>
                <w:sz w:val="21"/>
                <w:szCs w:val="21"/>
                <w:color w:val="auto"/>
              </w:rPr>
            </w:pPr>
          </w:p>
        </w:tc>
        <w:tc>
          <w:tcPr>
            <w:tcW w:w="8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D8D8D8"/>
          </w:tcPr>
          <w:p>
            <w:pPr>
              <w:jc w:val="right"/>
              <w:ind w:right="1"/>
              <w:spacing w:after="0"/>
              <w:rPr>
                <w:sz w:val="20"/>
                <w:szCs w:val="20"/>
                <w:color w:val="auto"/>
              </w:rPr>
            </w:pPr>
            <w:r>
              <w:rPr>
                <w:rFonts w:ascii="Arial" w:cs="Arial" w:eastAsia="Arial" w:hAnsi="Arial"/>
                <w:sz w:val="16"/>
                <w:szCs w:val="16"/>
                <w:color w:val="auto"/>
              </w:rPr>
              <w:t>3/7/2023</w:t>
            </w:r>
          </w:p>
        </w:tc>
        <w:tc>
          <w:tcPr>
            <w:tcW w:w="140" w:type="dxa"/>
            <w:vAlign w:val="bottom"/>
            <w:shd w:val="clear" w:color="auto" w:fill="D8D8D8"/>
          </w:tcPr>
          <w:p>
            <w:pPr>
              <w:ind w:left="40"/>
              <w:spacing w:after="0"/>
              <w:rPr>
                <w:sz w:val="20"/>
                <w:szCs w:val="20"/>
                <w:color w:val="auto"/>
              </w:rPr>
            </w:pPr>
            <w:r>
              <w:rPr>
                <w:rFonts w:ascii="Arial" w:cs="Arial" w:eastAsia="Arial" w:hAnsi="Arial"/>
                <w:sz w:val="16"/>
                <w:szCs w:val="16"/>
                <w:color w:val="auto"/>
              </w:rPr>
              <w:t>​</w:t>
            </w:r>
          </w:p>
        </w:tc>
        <w:tc>
          <w:tcPr>
            <w:tcW w:w="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6,150</w:t>
            </w:r>
          </w:p>
        </w:tc>
        <w:tc>
          <w:tcPr>
            <w:tcW w:w="120" w:type="dxa"/>
            <w:vAlign w:val="bottom"/>
            <w:shd w:val="clear" w:color="auto" w:fill="D8D8D8"/>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42,866</w:t>
            </w:r>
          </w:p>
        </w:tc>
        <w:tc>
          <w:tcPr>
            <w:tcW w:w="60" w:type="dxa"/>
            <w:vAlign w:val="bottom"/>
            <w:tcBorders>
              <w:right w:val="single" w:sz="8" w:color="D8D8D8"/>
            </w:tcBorders>
            <w:shd w:val="clear" w:color="auto" w:fill="D8D8D8"/>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D8D8D8"/>
            </w:tcBorders>
            <w:shd w:val="clear" w:color="auto" w:fill="D8D8D8"/>
          </w:tcPr>
          <w:p>
            <w:pPr>
              <w:spacing w:after="0"/>
              <w:rPr>
                <w:sz w:val="21"/>
                <w:szCs w:val="21"/>
                <w:color w:val="auto"/>
              </w:rPr>
            </w:pPr>
          </w:p>
        </w:tc>
        <w:tc>
          <w:tcPr>
            <w:tcW w:w="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D8D8D8"/>
            </w:tcBorders>
            <w:shd w:val="clear" w:color="auto" w:fill="D8D8D8"/>
          </w:tcPr>
          <w:p>
            <w:pPr>
              <w:spacing w:after="0"/>
              <w:rPr>
                <w:sz w:val="21"/>
                <w:szCs w:val="21"/>
                <w:color w:val="auto"/>
              </w:rPr>
            </w:pPr>
          </w:p>
        </w:tc>
        <w:tc>
          <w:tcPr>
            <w:tcW w:w="6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D8D8D8"/>
            </w:tcBorders>
            <w:shd w:val="clear" w:color="auto" w:fill="D8D8D8"/>
          </w:tcPr>
          <w:p>
            <w:pPr>
              <w:spacing w:after="0"/>
              <w:rPr>
                <w:sz w:val="21"/>
                <w:szCs w:val="21"/>
                <w:color w:val="auto"/>
              </w:rPr>
            </w:pPr>
          </w:p>
        </w:tc>
        <w:tc>
          <w:tcPr>
            <w:tcW w:w="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D8D8D8"/>
            </w:tcBorders>
            <w:shd w:val="clear" w:color="auto" w:fill="D8D8D8"/>
          </w:tcPr>
          <w:p>
            <w:pPr>
              <w:jc w:val="right"/>
              <w:ind w:right="1"/>
              <w:spacing w:after="0"/>
              <w:rPr>
                <w:sz w:val="20"/>
                <w:szCs w:val="20"/>
                <w:color w:val="auto"/>
              </w:rPr>
            </w:pPr>
            <w:r>
              <w:rPr>
                <w:rFonts w:ascii="Arial" w:cs="Arial" w:eastAsia="Arial" w:hAnsi="Arial"/>
                <w:sz w:val="16"/>
                <w:szCs w:val="16"/>
                <w:color w:val="auto"/>
              </w:rPr>
              <w:t>2/16/2024</w:t>
            </w:r>
          </w:p>
        </w:tc>
        <w:tc>
          <w:tcPr>
            <w:tcW w:w="1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9,225</w:t>
            </w:r>
          </w:p>
        </w:tc>
        <w:tc>
          <w:tcPr>
            <w:tcW w:w="1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64,298</w:t>
            </w:r>
          </w:p>
        </w:tc>
        <w:tc>
          <w:tcPr>
            <w:tcW w:w="60" w:type="dxa"/>
            <w:vAlign w:val="bottom"/>
            <w:tcBorders>
              <w:bottom w:val="single" w:sz="8" w:color="D8D8D8"/>
              <w:right w:val="single" w:sz="8" w:color="D8D8D8"/>
            </w:tcBorders>
            <w:shd w:val="clear" w:color="auto" w:fill="D8D8D8"/>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25,471</w:t>
            </w:r>
          </w:p>
        </w:tc>
        <w:tc>
          <w:tcPr>
            <w:tcW w:w="12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12.68</w:t>
            </w:r>
          </w:p>
        </w:tc>
        <w:tc>
          <w:tcPr>
            <w:tcW w:w="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3/31/2026</w:t>
            </w:r>
          </w:p>
        </w:tc>
        <w:tc>
          <w:tcPr>
            <w:tcW w:w="6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28,163</w:t>
            </w:r>
          </w:p>
        </w:tc>
        <w:tc>
          <w:tcPr>
            <w:tcW w:w="120" w:type="dxa"/>
            <w:vAlign w:val="bottom"/>
            <w:shd w:val="clear" w:color="auto" w:fill="D8D8D8"/>
          </w:tcPr>
          <w:p>
            <w:pPr>
              <w:spacing w:after="0"/>
              <w:rPr>
                <w:sz w:val="2"/>
                <w:szCs w:val="2"/>
                <w:color w:val="auto"/>
              </w:rPr>
            </w:pPr>
          </w:p>
        </w:tc>
        <w:tc>
          <w:tcPr>
            <w:tcW w:w="12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9,387</w:t>
            </w:r>
          </w:p>
        </w:tc>
        <w:tc>
          <w:tcPr>
            <w:tcW w:w="120" w:type="dxa"/>
            <w:vAlign w:val="bottom"/>
          </w:tcPr>
          <w:p>
            <w:pPr>
              <w:spacing w:after="0"/>
              <w:rPr>
                <w:sz w:val="2"/>
                <w:szCs w:val="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8.09</w:t>
            </w:r>
          </w:p>
        </w:tc>
        <w:tc>
          <w:tcPr>
            <w:tcW w:w="80" w:type="dxa"/>
            <w:vAlign w:val="bottom"/>
          </w:tcPr>
          <w:p>
            <w:pPr>
              <w:spacing w:after="0"/>
              <w:rPr>
                <w:sz w:val="2"/>
                <w:szCs w:val="2"/>
                <w:color w:val="auto"/>
              </w:rPr>
            </w:pPr>
          </w:p>
        </w:tc>
        <w:tc>
          <w:tcPr>
            <w:tcW w:w="14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5/2/2027</w:t>
            </w:r>
          </w:p>
        </w:tc>
        <w:tc>
          <w:tcPr>
            <w:tcW w:w="60" w:type="dxa"/>
            <w:vAlign w:val="bottom"/>
          </w:tcPr>
          <w:p>
            <w:pPr>
              <w:spacing w:after="0"/>
              <w:rPr>
                <w:sz w:val="2"/>
                <w:szCs w:val="2"/>
                <w:color w:val="auto"/>
              </w:rPr>
            </w:pPr>
          </w:p>
        </w:tc>
        <w:tc>
          <w:tcPr>
            <w:tcW w:w="1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
                <w:szCs w:val="2"/>
                <w:color w:val="auto"/>
              </w:rPr>
            </w:pPr>
          </w:p>
        </w:tc>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
                <w:szCs w:val="2"/>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215"/>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vMerge w:val="continue"/>
            <w:shd w:val="clear" w:color="auto" w:fill="D8D8D8"/>
          </w:tcPr>
          <w:p>
            <w:pPr>
              <w:spacing w:after="0"/>
              <w:rPr>
                <w:sz w:val="18"/>
                <w:szCs w:val="18"/>
                <w:color w:val="auto"/>
              </w:rPr>
            </w:pPr>
          </w:p>
        </w:tc>
        <w:tc>
          <w:tcPr>
            <w:tcW w:w="800" w:type="dxa"/>
            <w:vAlign w:val="bottom"/>
            <w:vMerge w:val="continue"/>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120" w:type="dxa"/>
            <w:vAlign w:val="bottom"/>
            <w:vMerge w:val="continue"/>
            <w:shd w:val="clear" w:color="auto" w:fill="D8D8D8"/>
          </w:tcPr>
          <w:p>
            <w:pPr>
              <w:spacing w:after="0"/>
              <w:rPr>
                <w:sz w:val="18"/>
                <w:szCs w:val="18"/>
                <w:color w:val="auto"/>
              </w:rPr>
            </w:pPr>
          </w:p>
        </w:tc>
        <w:tc>
          <w:tcPr>
            <w:tcW w:w="100" w:type="dxa"/>
            <w:vAlign w:val="bottom"/>
            <w:vMerge w:val="continue"/>
            <w:shd w:val="clear" w:color="auto" w:fill="D8D8D8"/>
          </w:tcPr>
          <w:p>
            <w:pPr>
              <w:spacing w:after="0"/>
              <w:rPr>
                <w:sz w:val="18"/>
                <w:szCs w:val="18"/>
                <w:color w:val="auto"/>
              </w:rPr>
            </w:pPr>
          </w:p>
        </w:tc>
        <w:tc>
          <w:tcPr>
            <w:tcW w:w="860" w:type="dxa"/>
            <w:vAlign w:val="bottom"/>
            <w:vMerge w:val="continue"/>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8D8D8"/>
          </w:tcPr>
          <w:p>
            <w:pPr>
              <w:spacing w:after="0"/>
              <w:rPr>
                <w:sz w:val="2"/>
                <w:szCs w:val="2"/>
                <w:color w:val="auto"/>
              </w:rPr>
            </w:pPr>
          </w:p>
        </w:tc>
        <w:tc>
          <w:tcPr>
            <w:tcW w:w="120" w:type="dxa"/>
            <w:vAlign w:val="bottom"/>
            <w:shd w:val="clear" w:color="auto" w:fill="D8D8D8"/>
          </w:tcPr>
          <w:p>
            <w:pPr>
              <w:spacing w:after="0"/>
              <w:rPr>
                <w:sz w:val="2"/>
                <w:szCs w:val="2"/>
                <w:color w:val="auto"/>
              </w:rPr>
            </w:pPr>
          </w:p>
        </w:tc>
        <w:tc>
          <w:tcPr>
            <w:tcW w:w="12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D8D8D8"/>
          </w:tcPr>
          <w:p>
            <w:pPr>
              <w:spacing w:after="0"/>
              <w:rPr>
                <w:sz w:val="2"/>
                <w:szCs w:val="2"/>
                <w:color w:val="auto"/>
              </w:rPr>
            </w:pPr>
          </w:p>
        </w:tc>
        <w:tc>
          <w:tcPr>
            <w:tcW w:w="120" w:type="dxa"/>
            <w:vAlign w:val="bottom"/>
            <w:shd w:val="clear" w:color="auto" w:fill="D8D8D8"/>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vMerge w:val="continue"/>
            <w:shd w:val="clear" w:color="auto" w:fill="D8D8D8"/>
          </w:tcPr>
          <w:p>
            <w:pPr>
              <w:spacing w:after="0"/>
              <w:rPr>
                <w:sz w:val="18"/>
                <w:szCs w:val="18"/>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14,614</w:t>
            </w:r>
          </w:p>
        </w:tc>
        <w:tc>
          <w:tcPr>
            <w:tcW w:w="120" w:type="dxa"/>
            <w:vAlign w:val="bottom"/>
            <w:shd w:val="clear" w:color="auto" w:fill="D8D8D8"/>
          </w:tcPr>
          <w:p>
            <w:pPr>
              <w:spacing w:after="0"/>
              <w:rPr>
                <w:sz w:val="18"/>
                <w:szCs w:val="18"/>
                <w:color w:val="auto"/>
              </w:rPr>
            </w:pPr>
          </w:p>
        </w:tc>
        <w:tc>
          <w:tcPr>
            <w:tcW w:w="120" w:type="dxa"/>
            <w:vAlign w:val="bottom"/>
            <w:vMerge w:val="continue"/>
            <w:shd w:val="clear" w:color="auto" w:fill="D8D8D8"/>
          </w:tcPr>
          <w:p>
            <w:pPr>
              <w:spacing w:after="0"/>
              <w:rPr>
                <w:sz w:val="18"/>
                <w:szCs w:val="18"/>
                <w:color w:val="auto"/>
              </w:rPr>
            </w:pPr>
          </w:p>
        </w:tc>
        <w:tc>
          <w:tcPr>
            <w:tcW w:w="100" w:type="dxa"/>
            <w:vAlign w:val="bottom"/>
            <w:vMerge w:val="continue"/>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14,614</w:t>
            </w:r>
          </w:p>
        </w:tc>
        <w:tc>
          <w:tcPr>
            <w:tcW w:w="12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9.81</w:t>
            </w:r>
          </w:p>
        </w:tc>
        <w:tc>
          <w:tcPr>
            <w:tcW w:w="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3/7/2028</w:t>
            </w:r>
          </w:p>
        </w:tc>
        <w:tc>
          <w:tcPr>
            <w:tcW w:w="6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8D8D8"/>
          </w:tcPr>
          <w:p>
            <w:pPr>
              <w:spacing w:after="0"/>
              <w:rPr>
                <w:sz w:val="2"/>
                <w:szCs w:val="2"/>
                <w:color w:val="auto"/>
              </w:rPr>
            </w:pPr>
          </w:p>
        </w:tc>
        <w:tc>
          <w:tcPr>
            <w:tcW w:w="120" w:type="dxa"/>
            <w:vAlign w:val="bottom"/>
            <w:shd w:val="clear" w:color="auto" w:fill="D8D8D8"/>
          </w:tcPr>
          <w:p>
            <w:pPr>
              <w:spacing w:after="0"/>
              <w:rPr>
                <w:sz w:val="2"/>
                <w:szCs w:val="2"/>
                <w:color w:val="auto"/>
              </w:rPr>
            </w:pPr>
          </w:p>
        </w:tc>
        <w:tc>
          <w:tcPr>
            <w:tcW w:w="12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D8D8D8"/>
          </w:tcPr>
          <w:p>
            <w:pPr>
              <w:spacing w:after="0"/>
              <w:rPr>
                <w:sz w:val="2"/>
                <w:szCs w:val="2"/>
                <w:color w:val="auto"/>
              </w:rPr>
            </w:pPr>
          </w:p>
        </w:tc>
        <w:tc>
          <w:tcPr>
            <w:tcW w:w="120" w:type="dxa"/>
            <w:vAlign w:val="bottom"/>
            <w:shd w:val="clear" w:color="auto" w:fill="D8D8D8"/>
          </w:tcPr>
          <w:p>
            <w:pPr>
              <w:spacing w:after="0"/>
              <w:rPr>
                <w:sz w:val="2"/>
                <w:szCs w:val="2"/>
                <w:color w:val="auto"/>
              </w:rPr>
            </w:pPr>
          </w:p>
        </w:tc>
        <w:tc>
          <w:tcPr>
            <w:tcW w:w="120" w:type="dxa"/>
            <w:vAlign w:val="bottom"/>
            <w:shd w:val="clear" w:color="auto" w:fill="D8D8D8"/>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vMerge w:val="continue"/>
            <w:shd w:val="clear" w:color="auto" w:fill="D8D8D8"/>
          </w:tcPr>
          <w:p>
            <w:pPr>
              <w:spacing w:after="0"/>
              <w:rPr>
                <w:sz w:val="18"/>
                <w:szCs w:val="18"/>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7,307</w:t>
            </w:r>
          </w:p>
        </w:tc>
        <w:tc>
          <w:tcPr>
            <w:tcW w:w="120" w:type="dxa"/>
            <w:vAlign w:val="bottom"/>
            <w:shd w:val="clear" w:color="auto" w:fill="D8D8D8"/>
          </w:tcPr>
          <w:p>
            <w:pPr>
              <w:spacing w:after="0"/>
              <w:rPr>
                <w:sz w:val="18"/>
                <w:szCs w:val="18"/>
                <w:color w:val="auto"/>
              </w:rPr>
            </w:pPr>
          </w:p>
        </w:tc>
        <w:tc>
          <w:tcPr>
            <w:tcW w:w="120" w:type="dxa"/>
            <w:vAlign w:val="bottom"/>
            <w:vMerge w:val="continue"/>
            <w:shd w:val="clear" w:color="auto" w:fill="D8D8D8"/>
          </w:tcPr>
          <w:p>
            <w:pPr>
              <w:spacing w:after="0"/>
              <w:rPr>
                <w:sz w:val="18"/>
                <w:szCs w:val="18"/>
                <w:color w:val="auto"/>
              </w:rPr>
            </w:pPr>
          </w:p>
        </w:tc>
        <w:tc>
          <w:tcPr>
            <w:tcW w:w="100" w:type="dxa"/>
            <w:vAlign w:val="bottom"/>
            <w:vMerge w:val="continue"/>
            <w:shd w:val="clear" w:color="auto" w:fill="D8D8D8"/>
          </w:tcPr>
          <w:p>
            <w:pPr>
              <w:spacing w:after="0"/>
              <w:rPr>
                <w:sz w:val="18"/>
                <w:szCs w:val="18"/>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21,921</w:t>
            </w:r>
          </w:p>
        </w:tc>
        <w:tc>
          <w:tcPr>
            <w:tcW w:w="12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5.03</w:t>
            </w:r>
          </w:p>
        </w:tc>
        <w:tc>
          <w:tcPr>
            <w:tcW w:w="8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2/16/2029</w:t>
            </w:r>
          </w:p>
        </w:tc>
        <w:tc>
          <w:tcPr>
            <w:tcW w:w="6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80,000</w:t>
            </w:r>
          </w:p>
        </w:tc>
        <w:tc>
          <w:tcPr>
            <w:tcW w:w="12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5.75</w:t>
            </w:r>
          </w:p>
        </w:tc>
        <w:tc>
          <w:tcPr>
            <w:tcW w:w="8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3/3/2030</w:t>
            </w:r>
          </w:p>
        </w:tc>
        <w:tc>
          <w:tcPr>
            <w:tcW w:w="6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20" w:type="dxa"/>
            <w:vAlign w:val="bottom"/>
            <w:gridSpan w:val="2"/>
          </w:tcPr>
          <w:p>
            <w:pPr>
              <w:spacing w:after="0" w:line="135" w:lineRule="exact"/>
              <w:rPr>
                <w:sz w:val="20"/>
                <w:szCs w:val="20"/>
                <w:color w:val="auto"/>
              </w:rPr>
            </w:pPr>
            <w:r>
              <w:rPr>
                <w:rFonts w:ascii="Arial" w:cs="Arial" w:eastAsia="Arial" w:hAnsi="Arial"/>
                <w:sz w:val="15"/>
                <w:szCs w:val="15"/>
                <w:color w:val="auto"/>
              </w:rPr>
              <w:t>​</w:t>
            </w:r>
          </w:p>
        </w:tc>
        <w:tc>
          <w:tcPr>
            <w:tcW w:w="4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80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86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2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500" w:type="dxa"/>
            <w:vAlign w:val="bottom"/>
          </w:tcPr>
          <w:p>
            <w:pPr>
              <w:spacing w:after="0"/>
              <w:rPr>
                <w:sz w:val="11"/>
                <w:szCs w:val="11"/>
                <w:color w:val="auto"/>
              </w:rPr>
            </w:pPr>
          </w:p>
        </w:tc>
        <w:tc>
          <w:tcPr>
            <w:tcW w:w="340" w:type="dxa"/>
            <w:vAlign w:val="bottom"/>
            <w:gridSpan w:val="3"/>
          </w:tcPr>
          <w:p>
            <w:pPr>
              <w:jc w:val="center"/>
              <w:spacing w:after="0" w:line="135" w:lineRule="exact"/>
              <w:rPr>
                <w:sz w:val="20"/>
                <w:szCs w:val="20"/>
                <w:color w:val="auto"/>
              </w:rPr>
            </w:pPr>
            <w:r>
              <w:rPr>
                <w:rFonts w:ascii="Arial" w:cs="Arial" w:eastAsia="Arial" w:hAnsi="Arial"/>
                <w:sz w:val="15"/>
                <w:szCs w:val="15"/>
                <w:color w:val="auto"/>
              </w:rPr>
              <w:t>​ ​ ​</w:t>
            </w:r>
          </w:p>
        </w:tc>
        <w:tc>
          <w:tcPr>
            <w:tcW w:w="740" w:type="dxa"/>
            <w:vAlign w:val="bottom"/>
          </w:tcPr>
          <w:p>
            <w:pPr>
              <w:spacing w:after="0"/>
              <w:rPr>
                <w:sz w:val="11"/>
                <w:szCs w:val="11"/>
                <w:color w:val="auto"/>
              </w:rPr>
            </w:pPr>
          </w:p>
        </w:tc>
        <w:tc>
          <w:tcPr>
            <w:tcW w:w="320" w:type="dxa"/>
            <w:vAlign w:val="bottom"/>
            <w:gridSpan w:val="4"/>
          </w:tcPr>
          <w:p>
            <w:pPr>
              <w:jc w:val="center"/>
              <w:spacing w:after="0" w:line="135" w:lineRule="exact"/>
              <w:rPr>
                <w:sz w:val="20"/>
                <w:szCs w:val="20"/>
                <w:color w:val="auto"/>
              </w:rPr>
            </w:pPr>
            <w:r>
              <w:rPr>
                <w:rFonts w:ascii="Arial" w:cs="Arial" w:eastAsia="Arial" w:hAnsi="Arial"/>
                <w:sz w:val="15"/>
                <w:szCs w:val="15"/>
                <w:color w:val="auto"/>
              </w:rPr>
              <w:t>​ ​ ​</w:t>
            </w: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 ​</w:t>
            </w:r>
          </w:p>
        </w:tc>
        <w:tc>
          <w:tcPr>
            <w:tcW w:w="74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 ​</w:t>
            </w:r>
          </w:p>
        </w:tc>
        <w:tc>
          <w:tcPr>
            <w:tcW w:w="660" w:type="dxa"/>
            <w:vAlign w:val="bottom"/>
          </w:tcPr>
          <w:p>
            <w:pPr>
              <w:spacing w:after="0"/>
              <w:rPr>
                <w:sz w:val="11"/>
                <w:szCs w:val="11"/>
                <w:color w:val="auto"/>
              </w:rPr>
            </w:pPr>
          </w:p>
        </w:tc>
        <w:tc>
          <w:tcPr>
            <w:tcW w:w="12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2"/>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6/8/2022</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4,314</w:t>
            </w:r>
          </w:p>
        </w:tc>
        <w:tc>
          <w:tcPr>
            <w:tcW w:w="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3/7/2023</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1,890</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13,173</w:t>
            </w:r>
          </w:p>
        </w:tc>
        <w:tc>
          <w:tcPr>
            <w:tcW w:w="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2/16/2024</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2,835</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19,760</w:t>
            </w:r>
          </w:p>
        </w:tc>
        <w:tc>
          <w:tcPr>
            <w:tcW w:w="6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4,907</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12.68</w:t>
            </w:r>
          </w:p>
        </w:tc>
        <w:tc>
          <w:tcPr>
            <w:tcW w:w="8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3/31/2026</w:t>
            </w:r>
          </w:p>
        </w:tc>
        <w:tc>
          <w:tcPr>
            <w:tcW w:w="6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5,082</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1,694</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8.09</w:t>
            </w:r>
          </w:p>
        </w:tc>
        <w:tc>
          <w:tcPr>
            <w:tcW w:w="8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5/2/2027</w:t>
            </w:r>
          </w:p>
        </w:tc>
        <w:tc>
          <w:tcPr>
            <w:tcW w:w="6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4,492</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4,491</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9.81</w:t>
            </w:r>
          </w:p>
        </w:tc>
        <w:tc>
          <w:tcPr>
            <w:tcW w:w="8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3/7/2028</w:t>
            </w:r>
          </w:p>
        </w:tc>
        <w:tc>
          <w:tcPr>
            <w:tcW w:w="6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2,246</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6,737</w:t>
            </w:r>
          </w:p>
        </w:tc>
        <w:tc>
          <w:tcPr>
            <w:tcW w:w="1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5.03</w:t>
            </w:r>
          </w:p>
        </w:tc>
        <w:tc>
          <w:tcPr>
            <w:tcW w:w="8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2/16/2029</w:t>
            </w:r>
          </w:p>
        </w:tc>
        <w:tc>
          <w:tcPr>
            <w:tcW w:w="6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9"/>
        </w:trPr>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5.75</w:t>
            </w:r>
          </w:p>
        </w:tc>
        <w:tc>
          <w:tcPr>
            <w:tcW w:w="80" w:type="dxa"/>
            <w:vAlign w:val="bottom"/>
          </w:tcPr>
          <w:p>
            <w:pPr>
              <w:spacing w:after="0"/>
              <w:rPr>
                <w:sz w:val="23"/>
                <w:szCs w:val="23"/>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3/3/2030</w:t>
            </w:r>
          </w:p>
        </w:tc>
        <w:tc>
          <w:tcPr>
            <w:tcW w:w="60" w:type="dxa"/>
            <w:vAlign w:val="bottom"/>
          </w:tcPr>
          <w:p>
            <w:pPr>
              <w:spacing w:after="0"/>
              <w:rPr>
                <w:sz w:val="23"/>
                <w:szCs w:val="23"/>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3"/>
                <w:szCs w:val="23"/>
                <w:color w:val="auto"/>
              </w:rPr>
            </w:pPr>
          </w:p>
        </w:tc>
        <w:tc>
          <w:tcPr>
            <w:tcW w:w="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-2106930</wp:posOffset>
            </wp:positionV>
            <wp:extent cx="3771900" cy="771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71900" cy="77152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18415</wp:posOffset>
            </wp:positionV>
            <wp:extent cx="59061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2040" w:space="700"/>
            <w:col w:w="7320"/>
          </w:cols>
          <w:pgMar w:left="580" w:top="97" w:right="1259" w:bottom="1440" w:gutter="0" w:footer="0" w:header="0"/>
          <w:type w:val="continuous"/>
        </w:sectPr>
      </w:pPr>
    </w:p>
    <w:p>
      <w:pPr>
        <w:ind w:left="1060" w:hanging="352"/>
        <w:spacing w:after="0"/>
        <w:tabs>
          <w:tab w:leader="none" w:pos="1060" w:val="left"/>
        </w:tabs>
        <w:numPr>
          <w:ilvl w:val="0"/>
          <w:numId w:val="20"/>
        </w:numPr>
        <w:rPr>
          <w:rFonts w:ascii="Arial" w:cs="Arial" w:eastAsia="Arial" w:hAnsi="Arial"/>
          <w:sz w:val="14"/>
          <w:szCs w:val="14"/>
          <w:color w:val="395796"/>
        </w:rPr>
      </w:pPr>
      <w:r>
        <w:rPr>
          <w:rFonts w:ascii="Arial" w:cs="Arial" w:eastAsia="Arial" w:hAnsi="Arial"/>
          <w:sz w:val="14"/>
          <w:szCs w:val="14"/>
          <w:color w:val="auto"/>
        </w:rPr>
        <w:t>Options vest and become exercisable in equal installments on the first four anniversaries of the grant date.</w:t>
      </w:r>
    </w:p>
    <w:p>
      <w:pPr>
        <w:spacing w:after="0" w:line="41" w:lineRule="exact"/>
        <w:rPr>
          <w:rFonts w:ascii="Arial" w:cs="Arial" w:eastAsia="Arial" w:hAnsi="Arial"/>
          <w:sz w:val="14"/>
          <w:szCs w:val="14"/>
          <w:color w:val="395796"/>
        </w:rPr>
      </w:pPr>
    </w:p>
    <w:p>
      <w:pPr>
        <w:ind w:left="1060" w:hanging="352"/>
        <w:spacing w:after="0"/>
        <w:tabs>
          <w:tab w:leader="none" w:pos="1060" w:val="left"/>
        </w:tabs>
        <w:numPr>
          <w:ilvl w:val="0"/>
          <w:numId w:val="20"/>
        </w:numPr>
        <w:rPr>
          <w:rFonts w:ascii="Arial" w:cs="Arial" w:eastAsia="Arial" w:hAnsi="Arial"/>
          <w:sz w:val="14"/>
          <w:szCs w:val="14"/>
          <w:color w:val="395796"/>
        </w:rPr>
      </w:pPr>
      <w:r>
        <w:rPr>
          <w:rFonts w:ascii="Arial" w:cs="Arial" w:eastAsia="Arial" w:hAnsi="Arial"/>
          <w:sz w:val="14"/>
          <w:szCs w:val="14"/>
          <w:color w:val="auto"/>
        </w:rPr>
        <w:t>Each option was granted five years before the option expiration date and has a five-year term.</w:t>
      </w:r>
    </w:p>
    <w:p>
      <w:pPr>
        <w:spacing w:after="0" w:line="41" w:lineRule="exact"/>
        <w:rPr>
          <w:rFonts w:ascii="Arial" w:cs="Arial" w:eastAsia="Arial" w:hAnsi="Arial"/>
          <w:sz w:val="14"/>
          <w:szCs w:val="14"/>
          <w:color w:val="395796"/>
        </w:rPr>
      </w:pPr>
    </w:p>
    <w:p>
      <w:pPr>
        <w:ind w:left="1060" w:hanging="352"/>
        <w:spacing w:after="0"/>
        <w:tabs>
          <w:tab w:leader="none" w:pos="1060" w:val="left"/>
        </w:tabs>
        <w:numPr>
          <w:ilvl w:val="0"/>
          <w:numId w:val="20"/>
        </w:numPr>
        <w:rPr>
          <w:rFonts w:ascii="Arial" w:cs="Arial" w:eastAsia="Arial" w:hAnsi="Arial"/>
          <w:sz w:val="14"/>
          <w:szCs w:val="14"/>
          <w:color w:val="395796"/>
        </w:rPr>
      </w:pPr>
      <w:r>
        <w:rPr>
          <w:rFonts w:ascii="Arial" w:cs="Arial" w:eastAsia="Arial" w:hAnsi="Arial"/>
          <w:sz w:val="14"/>
          <w:szCs w:val="14"/>
          <w:color w:val="auto"/>
        </w:rPr>
        <w:t>Restricted stock awards vest in equal installments on the first four anniversaries of the grant date.</w:t>
      </w:r>
    </w:p>
    <w:p>
      <w:pPr>
        <w:spacing w:after="0" w:line="29" w:lineRule="exact"/>
        <w:rPr>
          <w:rFonts w:ascii="Arial" w:cs="Arial" w:eastAsia="Arial" w:hAnsi="Arial"/>
          <w:sz w:val="14"/>
          <w:szCs w:val="14"/>
          <w:color w:val="395796"/>
        </w:rPr>
      </w:pPr>
    </w:p>
    <w:p>
      <w:pPr>
        <w:ind w:left="1060" w:right="40" w:hanging="352"/>
        <w:spacing w:after="0" w:line="323" w:lineRule="auto"/>
        <w:tabs>
          <w:tab w:leader="none" w:pos="1060" w:val="left"/>
        </w:tabs>
        <w:numPr>
          <w:ilvl w:val="0"/>
          <w:numId w:val="20"/>
        </w:numPr>
        <w:rPr>
          <w:rFonts w:ascii="Arial" w:cs="Arial" w:eastAsia="Arial" w:hAnsi="Arial"/>
          <w:sz w:val="14"/>
          <w:szCs w:val="14"/>
          <w:color w:val="395796"/>
        </w:rPr>
      </w:pPr>
      <w:r>
        <w:rPr>
          <w:rFonts w:ascii="Arial" w:cs="Arial" w:eastAsia="Arial" w:hAnsi="Arial"/>
          <w:sz w:val="14"/>
          <w:szCs w:val="14"/>
          <w:color w:val="auto"/>
        </w:rPr>
        <w:t>Market value is calculated by multiplying the number of restricted stock awards that have not vested by $6.97, which was the closing price of our common stock on the Nasdaq Global Select Market on December 31, 2025, the last trading day of 2025.</w:t>
      </w:r>
    </w:p>
    <w:p>
      <w:pPr>
        <w:sectPr>
          <w:pgSz w:w="11900" w:h="16838" w:orient="portrait"/>
          <w:cols w:equalWidth="0" w:num="1">
            <w:col w:w="10060"/>
          </w:cols>
          <w:pgMar w:left="580" w:top="9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40" w:hanging="332"/>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17"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395796"/>
        </w:rPr>
        <w:t>COMPENSATION OF DIRECTORS AND EXECUTIVE OFFICERS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395796"/>
        </w:rPr>
        <w:t>Pay Versus Performance Table</w:t>
      </w:r>
    </w:p>
    <w:p>
      <w:pPr>
        <w:spacing w:after="0" w:line="114" w:lineRule="exact"/>
        <w:rPr>
          <w:sz w:val="20"/>
          <w:szCs w:val="20"/>
          <w:color w:val="auto"/>
        </w:rPr>
      </w:pPr>
    </w:p>
    <w:p>
      <w:pPr>
        <w:jc w:val="both"/>
        <w:ind w:left="700" w:right="20"/>
        <w:spacing w:after="0" w:line="267" w:lineRule="auto"/>
        <w:rPr>
          <w:sz w:val="20"/>
          <w:szCs w:val="20"/>
          <w:color w:val="auto"/>
        </w:rPr>
      </w:pPr>
      <w:r>
        <w:rPr>
          <w:rFonts w:ascii="Arial" w:cs="Arial" w:eastAsia="Arial" w:hAnsi="Arial"/>
          <w:sz w:val="18"/>
          <w:szCs w:val="18"/>
          <w:color w:val="auto"/>
        </w:rPr>
        <w:t>The following table provides a comparison between two measures of compensation for our named executive officers and certain measures of performance. The two compensation measures are the named executive officers’ “total compensation,” as presented in the Summary Compensation Table, and their “compensation actually paid,” a measure of compensation required by SEC rules. These measures are presented for each person who served as our chief executive officer during the relevant year, individually, and for our other named executive officers, as an average for the group.</w:t>
      </w:r>
    </w:p>
    <w:p>
      <w:pPr>
        <w:spacing w:after="0" w:line="76" w:lineRule="exact"/>
        <w:rPr>
          <w:sz w:val="20"/>
          <w:szCs w:val="20"/>
          <w:color w:val="auto"/>
        </w:rPr>
      </w:pPr>
    </w:p>
    <w:p>
      <w:pPr>
        <w:jc w:val="both"/>
        <w:ind w:left="700" w:right="20"/>
        <w:spacing w:after="0" w:line="271" w:lineRule="auto"/>
        <w:rPr>
          <w:sz w:val="20"/>
          <w:szCs w:val="20"/>
          <w:color w:val="auto"/>
        </w:rPr>
      </w:pPr>
      <w:r>
        <w:rPr>
          <w:rFonts w:ascii="Arial" w:cs="Arial" w:eastAsia="Arial" w:hAnsi="Arial"/>
          <w:sz w:val="18"/>
          <w:szCs w:val="18"/>
          <w:color w:val="auto"/>
        </w:rPr>
        <w:t>While both “total compensation” and “compensation actually paid” measure compensation for the same fiscal year, the two measures are calculated differently. Compensation actually paid is based on total compensation but substitutes different amounts for equity compensation. Compensation actually paid removes from total compensation the grant-date fair value of equity awards granted during the relevant year and replaces it with the net aggregate change in the fair value of equity awards during the relevant year.</w:t>
      </w:r>
    </w:p>
    <w:p>
      <w:pPr>
        <w:spacing w:after="0" w:line="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net aggregate change in fair value represents the sum of:</w:t>
      </w:r>
    </w:p>
    <w:p>
      <w:pPr>
        <w:spacing w:after="0" w:line="144" w:lineRule="exact"/>
        <w:rPr>
          <w:sz w:val="20"/>
          <w:szCs w:val="20"/>
          <w:color w:val="auto"/>
        </w:rPr>
      </w:pPr>
    </w:p>
    <w:p>
      <w:pPr>
        <w:ind w:left="1000" w:right="20" w:hanging="292"/>
        <w:spacing w:after="0" w:line="287" w:lineRule="auto"/>
        <w:tabs>
          <w:tab w:leader="none" w:pos="1000" w:val="left"/>
        </w:tabs>
        <w:numPr>
          <w:ilvl w:val="0"/>
          <w:numId w:val="22"/>
        </w:numPr>
        <w:rPr>
          <w:rFonts w:ascii="Arial" w:cs="Arial" w:eastAsia="Arial" w:hAnsi="Arial"/>
          <w:sz w:val="18"/>
          <w:szCs w:val="18"/>
          <w:color w:val="395796"/>
        </w:rPr>
      </w:pPr>
      <w:r>
        <w:rPr>
          <w:rFonts w:ascii="Arial" w:cs="Arial" w:eastAsia="Arial" w:hAnsi="Arial"/>
          <w:sz w:val="18"/>
          <w:szCs w:val="18"/>
          <w:color w:val="auto"/>
        </w:rPr>
        <w:t>the year-end fair value of new awards granted during the year that are outstanding and unvested as of the end of the year;</w:t>
      </w:r>
    </w:p>
    <w:p>
      <w:pPr>
        <w:spacing w:after="0" w:line="58" w:lineRule="exact"/>
        <w:rPr>
          <w:rFonts w:ascii="Arial" w:cs="Arial" w:eastAsia="Arial" w:hAnsi="Arial"/>
          <w:sz w:val="18"/>
          <w:szCs w:val="18"/>
          <w:color w:val="395796"/>
        </w:rPr>
      </w:pPr>
    </w:p>
    <w:p>
      <w:pPr>
        <w:ind w:left="1000" w:right="20" w:hanging="292"/>
        <w:spacing w:after="0" w:line="287" w:lineRule="auto"/>
        <w:tabs>
          <w:tab w:leader="none" w:pos="1000" w:val="left"/>
        </w:tabs>
        <w:numPr>
          <w:ilvl w:val="0"/>
          <w:numId w:val="22"/>
        </w:numPr>
        <w:rPr>
          <w:rFonts w:ascii="Arial" w:cs="Arial" w:eastAsia="Arial" w:hAnsi="Arial"/>
          <w:sz w:val="18"/>
          <w:szCs w:val="18"/>
          <w:color w:val="395796"/>
        </w:rPr>
      </w:pPr>
      <w:r>
        <w:rPr>
          <w:rFonts w:ascii="Arial" w:cs="Arial" w:eastAsia="Arial" w:hAnsi="Arial"/>
          <w:sz w:val="18"/>
          <w:szCs w:val="18"/>
          <w:color w:val="auto"/>
        </w:rPr>
        <w:t>the change in the fair value (positive or negative) of unvested awards outstanding during the entire year, measured from the beginning of the year to the end of the year;</w:t>
      </w:r>
    </w:p>
    <w:p>
      <w:pPr>
        <w:spacing w:after="0" w:line="71" w:lineRule="exact"/>
        <w:rPr>
          <w:rFonts w:ascii="Arial" w:cs="Arial" w:eastAsia="Arial" w:hAnsi="Arial"/>
          <w:sz w:val="18"/>
          <w:szCs w:val="18"/>
          <w:color w:val="395796"/>
        </w:rPr>
      </w:pPr>
    </w:p>
    <w:p>
      <w:pPr>
        <w:ind w:left="1000" w:hanging="292"/>
        <w:spacing w:after="0"/>
        <w:tabs>
          <w:tab w:leader="none" w:pos="1000" w:val="left"/>
        </w:tabs>
        <w:numPr>
          <w:ilvl w:val="0"/>
          <w:numId w:val="22"/>
        </w:numPr>
        <w:rPr>
          <w:rFonts w:ascii="Arial" w:cs="Arial" w:eastAsia="Arial" w:hAnsi="Arial"/>
          <w:sz w:val="18"/>
          <w:szCs w:val="18"/>
          <w:color w:val="395796"/>
        </w:rPr>
      </w:pPr>
      <w:r>
        <w:rPr>
          <w:rFonts w:ascii="Arial" w:cs="Arial" w:eastAsia="Arial" w:hAnsi="Arial"/>
          <w:sz w:val="18"/>
          <w:szCs w:val="18"/>
          <w:color w:val="auto"/>
        </w:rPr>
        <w:t>the vesting-date fair value of new awards that are granted and also vest in the year;</w:t>
      </w:r>
    </w:p>
    <w:p>
      <w:pPr>
        <w:spacing w:after="0" w:line="144" w:lineRule="exact"/>
        <w:rPr>
          <w:rFonts w:ascii="Arial" w:cs="Arial" w:eastAsia="Arial" w:hAnsi="Arial"/>
          <w:sz w:val="18"/>
          <w:szCs w:val="18"/>
          <w:color w:val="395796"/>
        </w:rPr>
      </w:pPr>
    </w:p>
    <w:p>
      <w:pPr>
        <w:ind w:left="1000" w:right="40" w:hanging="292"/>
        <w:spacing w:after="0" w:line="287" w:lineRule="auto"/>
        <w:tabs>
          <w:tab w:leader="none" w:pos="1000" w:val="left"/>
        </w:tabs>
        <w:numPr>
          <w:ilvl w:val="0"/>
          <w:numId w:val="22"/>
        </w:numPr>
        <w:rPr>
          <w:rFonts w:ascii="Arial" w:cs="Arial" w:eastAsia="Arial" w:hAnsi="Arial"/>
          <w:sz w:val="18"/>
          <w:szCs w:val="18"/>
          <w:color w:val="395796"/>
        </w:rPr>
      </w:pPr>
      <w:r>
        <w:rPr>
          <w:rFonts w:ascii="Arial" w:cs="Arial" w:eastAsia="Arial" w:hAnsi="Arial"/>
          <w:sz w:val="18"/>
          <w:szCs w:val="18"/>
          <w:color w:val="auto"/>
        </w:rPr>
        <w:t>the change in the fair value (positive or negative) of unvested awards that are held at the beginning of the year and that also vest during the year, measured from the beginning of the year to the vesting date;</w:t>
      </w:r>
    </w:p>
    <w:p>
      <w:pPr>
        <w:spacing w:after="0" w:line="58" w:lineRule="exact"/>
        <w:rPr>
          <w:rFonts w:ascii="Arial" w:cs="Arial" w:eastAsia="Arial" w:hAnsi="Arial"/>
          <w:sz w:val="18"/>
          <w:szCs w:val="18"/>
          <w:color w:val="395796"/>
        </w:rPr>
      </w:pPr>
    </w:p>
    <w:p>
      <w:pPr>
        <w:ind w:left="1000" w:right="20" w:hanging="292"/>
        <w:spacing w:after="0" w:line="318" w:lineRule="auto"/>
        <w:tabs>
          <w:tab w:leader="none" w:pos="1000" w:val="left"/>
        </w:tabs>
        <w:numPr>
          <w:ilvl w:val="0"/>
          <w:numId w:val="22"/>
        </w:numPr>
        <w:rPr>
          <w:rFonts w:ascii="Arial" w:cs="Arial" w:eastAsia="Arial" w:hAnsi="Arial"/>
          <w:sz w:val="17"/>
          <w:szCs w:val="17"/>
          <w:color w:val="395796"/>
        </w:rPr>
      </w:pPr>
      <w:r>
        <w:rPr>
          <w:rFonts w:ascii="Arial" w:cs="Arial" w:eastAsia="Arial" w:hAnsi="Arial"/>
          <w:sz w:val="17"/>
          <w:szCs w:val="17"/>
          <w:color w:val="auto"/>
        </w:rPr>
        <w:t>the loss in fair value of unvested awards outstanding at the beginning of the year that fail to meet applicable vesting conditions during the year, measured as the loss of the fair value of those awards at the beginning of the year; and</w:t>
      </w:r>
    </w:p>
    <w:p>
      <w:pPr>
        <w:spacing w:after="0" w:line="48" w:lineRule="exact"/>
        <w:rPr>
          <w:rFonts w:ascii="Arial" w:cs="Arial" w:eastAsia="Arial" w:hAnsi="Arial"/>
          <w:sz w:val="17"/>
          <w:szCs w:val="17"/>
          <w:color w:val="395796"/>
        </w:rPr>
      </w:pPr>
    </w:p>
    <w:p>
      <w:pPr>
        <w:ind w:left="1000" w:right="20" w:hanging="292"/>
        <w:spacing w:after="0" w:line="287" w:lineRule="auto"/>
        <w:tabs>
          <w:tab w:leader="none" w:pos="1000" w:val="left"/>
        </w:tabs>
        <w:numPr>
          <w:ilvl w:val="0"/>
          <w:numId w:val="22"/>
        </w:numPr>
        <w:rPr>
          <w:rFonts w:ascii="Arial" w:cs="Arial" w:eastAsia="Arial" w:hAnsi="Arial"/>
          <w:sz w:val="18"/>
          <w:szCs w:val="18"/>
          <w:color w:val="395796"/>
        </w:rPr>
      </w:pPr>
      <w:r>
        <w:rPr>
          <w:rFonts w:ascii="Arial" w:cs="Arial" w:eastAsia="Arial" w:hAnsi="Arial"/>
          <w:sz w:val="18"/>
          <w:szCs w:val="18"/>
          <w:color w:val="auto"/>
        </w:rPr>
        <w:t>the dollar value of any dividends or other earnings paid on awards during the year prior to any vesting date that are not otherwise reflected in total compensation for the year.</w:t>
      </w:r>
    </w:p>
    <w:p>
      <w:pPr>
        <w:spacing w:after="0" w:line="45" w:lineRule="exact"/>
        <w:rPr>
          <w:sz w:val="20"/>
          <w:szCs w:val="20"/>
          <w:color w:val="auto"/>
        </w:rPr>
      </w:pPr>
    </w:p>
    <w:p>
      <w:pPr>
        <w:jc w:val="both"/>
        <w:ind w:left="700" w:right="20"/>
        <w:spacing w:after="0" w:line="276" w:lineRule="auto"/>
        <w:rPr>
          <w:sz w:val="20"/>
          <w:szCs w:val="20"/>
          <w:color w:val="auto"/>
        </w:rPr>
      </w:pPr>
      <w:r>
        <w:rPr>
          <w:rFonts w:ascii="Arial" w:cs="Arial" w:eastAsia="Arial" w:hAnsi="Arial"/>
          <w:sz w:val="18"/>
          <w:szCs w:val="18"/>
          <w:color w:val="auto"/>
        </w:rPr>
        <w:t>The net change in aggregate fair value must also reflect any increase in the fair value of any equity awards that were repriced or otherwise materially modified during the year. No equity awards were repriced or otherwise materially modified during any of the years presented.</w:t>
      </w:r>
    </w:p>
    <w:p>
      <w:pPr>
        <w:spacing w:after="0" w:line="115"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1660" w:type="dxa"/>
            <w:vAlign w:val="bottom"/>
            <w:shd w:val="clear" w:color="auto" w:fill="395796"/>
          </w:tcPr>
          <w:p>
            <w:pPr>
              <w:spacing w:after="0"/>
              <w:rPr>
                <w:sz w:val="16"/>
                <w:szCs w:val="16"/>
                <w:color w:val="auto"/>
              </w:rPr>
            </w:pPr>
          </w:p>
        </w:tc>
        <w:tc>
          <w:tcPr>
            <w:tcW w:w="1440" w:type="dxa"/>
            <w:vAlign w:val="bottom"/>
            <w:shd w:val="clear" w:color="auto" w:fill="395796"/>
          </w:tcPr>
          <w:p>
            <w:pPr>
              <w:spacing w:after="0"/>
              <w:rPr>
                <w:sz w:val="16"/>
                <w:szCs w:val="16"/>
                <w:color w:val="auto"/>
              </w:rPr>
            </w:pPr>
          </w:p>
        </w:tc>
        <w:tc>
          <w:tcPr>
            <w:tcW w:w="960" w:type="dxa"/>
            <w:vAlign w:val="bottom"/>
            <w:shd w:val="clear" w:color="auto" w:fill="395796"/>
          </w:tcPr>
          <w:p>
            <w:pPr>
              <w:spacing w:after="0"/>
              <w:rPr>
                <w:sz w:val="16"/>
                <w:szCs w:val="16"/>
                <w:color w:val="auto"/>
              </w:rPr>
            </w:pPr>
          </w:p>
        </w:tc>
        <w:tc>
          <w:tcPr>
            <w:tcW w:w="220" w:type="dxa"/>
            <w:vAlign w:val="bottom"/>
            <w:shd w:val="clear" w:color="auto" w:fill="395796"/>
          </w:tcPr>
          <w:p>
            <w:pPr>
              <w:spacing w:after="0"/>
              <w:rPr>
                <w:sz w:val="16"/>
                <w:szCs w:val="16"/>
                <w:color w:val="auto"/>
              </w:rPr>
            </w:pPr>
          </w:p>
        </w:tc>
        <w:tc>
          <w:tcPr>
            <w:tcW w:w="940" w:type="dxa"/>
            <w:vAlign w:val="bottom"/>
            <w:shd w:val="clear" w:color="auto" w:fill="395796"/>
          </w:tcPr>
          <w:p>
            <w:pPr>
              <w:spacing w:after="0"/>
              <w:rPr>
                <w:sz w:val="16"/>
                <w:szCs w:val="16"/>
                <w:color w:val="auto"/>
              </w:rPr>
            </w:pPr>
          </w:p>
        </w:tc>
        <w:tc>
          <w:tcPr>
            <w:tcW w:w="180" w:type="dxa"/>
            <w:vAlign w:val="bottom"/>
            <w:shd w:val="clear" w:color="auto" w:fill="395796"/>
          </w:tcPr>
          <w:p>
            <w:pPr>
              <w:spacing w:after="0"/>
              <w:rPr>
                <w:sz w:val="16"/>
                <w:szCs w:val="16"/>
                <w:color w:val="auto"/>
              </w:rPr>
            </w:pPr>
          </w:p>
        </w:tc>
        <w:tc>
          <w:tcPr>
            <w:tcW w:w="960" w:type="dxa"/>
            <w:vAlign w:val="bottom"/>
            <w:shd w:val="clear" w:color="auto" w:fill="395796"/>
          </w:tcPr>
          <w:p>
            <w:pPr>
              <w:spacing w:after="0"/>
              <w:rPr>
                <w:sz w:val="16"/>
                <w:szCs w:val="16"/>
                <w:color w:val="auto"/>
              </w:rPr>
            </w:pPr>
          </w:p>
        </w:tc>
        <w:tc>
          <w:tcPr>
            <w:tcW w:w="220" w:type="dxa"/>
            <w:vAlign w:val="bottom"/>
            <w:shd w:val="clear" w:color="auto" w:fill="395796"/>
          </w:tcPr>
          <w:p>
            <w:pPr>
              <w:spacing w:after="0"/>
              <w:rPr>
                <w:sz w:val="16"/>
                <w:szCs w:val="16"/>
                <w:color w:val="auto"/>
              </w:rPr>
            </w:pPr>
          </w:p>
        </w:tc>
        <w:tc>
          <w:tcPr>
            <w:tcW w:w="920" w:type="dxa"/>
            <w:vAlign w:val="bottom"/>
            <w:shd w:val="clear" w:color="auto" w:fill="395796"/>
          </w:tcPr>
          <w:p>
            <w:pPr>
              <w:spacing w:after="0"/>
              <w:rPr>
                <w:sz w:val="16"/>
                <w:szCs w:val="16"/>
                <w:color w:val="auto"/>
              </w:rPr>
            </w:pPr>
          </w:p>
        </w:tc>
        <w:tc>
          <w:tcPr>
            <w:tcW w:w="200" w:type="dxa"/>
            <w:vAlign w:val="bottom"/>
            <w:shd w:val="clear" w:color="auto" w:fill="395796"/>
          </w:tcPr>
          <w:p>
            <w:pPr>
              <w:spacing w:after="0"/>
              <w:rPr>
                <w:sz w:val="16"/>
                <w:szCs w:val="16"/>
                <w:color w:val="auto"/>
              </w:rPr>
            </w:pPr>
          </w:p>
        </w:tc>
        <w:tc>
          <w:tcPr>
            <w:tcW w:w="78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Value of</w:t>
            </w:r>
          </w:p>
        </w:tc>
        <w:tc>
          <w:tcPr>
            <w:tcW w:w="220" w:type="dxa"/>
            <w:vAlign w:val="bottom"/>
            <w:shd w:val="clear" w:color="auto" w:fill="395796"/>
          </w:tcPr>
          <w:p>
            <w:pPr>
              <w:spacing w:after="0"/>
              <w:rPr>
                <w:sz w:val="16"/>
                <w:szCs w:val="16"/>
                <w:color w:val="auto"/>
              </w:rPr>
            </w:pPr>
          </w:p>
        </w:tc>
        <w:tc>
          <w:tcPr>
            <w:tcW w:w="600" w:type="dxa"/>
            <w:vAlign w:val="bottom"/>
            <w:tcBorders>
              <w:right w:val="single" w:sz="8" w:color="395796"/>
            </w:tcBorders>
            <w:shd w:val="clear" w:color="auto" w:fill="395796"/>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395796"/>
          </w:tcPr>
          <w:p>
            <w:pPr>
              <w:spacing w:after="0"/>
              <w:rPr>
                <w:sz w:val="14"/>
                <w:szCs w:val="14"/>
                <w:color w:val="auto"/>
              </w:rPr>
            </w:pPr>
          </w:p>
        </w:tc>
        <w:tc>
          <w:tcPr>
            <w:tcW w:w="1440" w:type="dxa"/>
            <w:vAlign w:val="bottom"/>
            <w:shd w:val="clear" w:color="auto" w:fill="395796"/>
          </w:tcPr>
          <w:p>
            <w:pPr>
              <w:spacing w:after="0"/>
              <w:rPr>
                <w:sz w:val="14"/>
                <w:szCs w:val="14"/>
                <w:color w:val="auto"/>
              </w:rPr>
            </w:pPr>
          </w:p>
        </w:tc>
        <w:tc>
          <w:tcPr>
            <w:tcW w:w="960" w:type="dxa"/>
            <w:vAlign w:val="bottom"/>
            <w:shd w:val="clear" w:color="auto" w:fill="395796"/>
          </w:tcPr>
          <w:p>
            <w:pPr>
              <w:spacing w:after="0"/>
              <w:rPr>
                <w:sz w:val="14"/>
                <w:szCs w:val="14"/>
                <w:color w:val="auto"/>
              </w:rPr>
            </w:pPr>
          </w:p>
        </w:tc>
        <w:tc>
          <w:tcPr>
            <w:tcW w:w="220" w:type="dxa"/>
            <w:vAlign w:val="bottom"/>
            <w:shd w:val="clear" w:color="auto" w:fill="395796"/>
          </w:tcPr>
          <w:p>
            <w:pPr>
              <w:spacing w:after="0"/>
              <w:rPr>
                <w:sz w:val="14"/>
                <w:szCs w:val="14"/>
                <w:color w:val="auto"/>
              </w:rPr>
            </w:pPr>
          </w:p>
        </w:tc>
        <w:tc>
          <w:tcPr>
            <w:tcW w:w="940" w:type="dxa"/>
            <w:vAlign w:val="bottom"/>
            <w:shd w:val="clear" w:color="auto" w:fill="395796"/>
          </w:tcPr>
          <w:p>
            <w:pPr>
              <w:spacing w:after="0"/>
              <w:rPr>
                <w:sz w:val="14"/>
                <w:szCs w:val="14"/>
                <w:color w:val="auto"/>
              </w:rPr>
            </w:pPr>
          </w:p>
        </w:tc>
        <w:tc>
          <w:tcPr>
            <w:tcW w:w="180" w:type="dxa"/>
            <w:vAlign w:val="bottom"/>
            <w:shd w:val="clear" w:color="auto" w:fill="395796"/>
          </w:tcPr>
          <w:p>
            <w:pPr>
              <w:spacing w:after="0"/>
              <w:rPr>
                <w:sz w:val="14"/>
                <w:szCs w:val="14"/>
                <w:color w:val="auto"/>
              </w:rPr>
            </w:pPr>
          </w:p>
        </w:tc>
        <w:tc>
          <w:tcPr>
            <w:tcW w:w="960" w:type="dxa"/>
            <w:vAlign w:val="bottom"/>
            <w:shd w:val="clear" w:color="auto" w:fill="395796"/>
          </w:tcPr>
          <w:p>
            <w:pPr>
              <w:spacing w:after="0"/>
              <w:rPr>
                <w:sz w:val="14"/>
                <w:szCs w:val="14"/>
                <w:color w:val="auto"/>
              </w:rPr>
            </w:pPr>
          </w:p>
        </w:tc>
        <w:tc>
          <w:tcPr>
            <w:tcW w:w="220" w:type="dxa"/>
            <w:vAlign w:val="bottom"/>
            <w:shd w:val="clear" w:color="auto" w:fill="395796"/>
          </w:tcPr>
          <w:p>
            <w:pPr>
              <w:spacing w:after="0"/>
              <w:rPr>
                <w:sz w:val="14"/>
                <w:szCs w:val="14"/>
                <w:color w:val="auto"/>
              </w:rPr>
            </w:pPr>
          </w:p>
        </w:tc>
        <w:tc>
          <w:tcPr>
            <w:tcW w:w="920" w:type="dxa"/>
            <w:vAlign w:val="bottom"/>
            <w:shd w:val="clear" w:color="auto" w:fill="395796"/>
          </w:tcPr>
          <w:p>
            <w:pPr>
              <w:spacing w:after="0"/>
              <w:rPr>
                <w:sz w:val="14"/>
                <w:szCs w:val="14"/>
                <w:color w:val="auto"/>
              </w:rPr>
            </w:pPr>
          </w:p>
        </w:tc>
        <w:tc>
          <w:tcPr>
            <w:tcW w:w="200" w:type="dxa"/>
            <w:vAlign w:val="bottom"/>
            <w:shd w:val="clear" w:color="auto" w:fill="395796"/>
          </w:tcPr>
          <w:p>
            <w:pPr>
              <w:spacing w:after="0"/>
              <w:rPr>
                <w:sz w:val="14"/>
                <w:szCs w:val="14"/>
                <w:color w:val="auto"/>
              </w:rPr>
            </w:pPr>
          </w:p>
        </w:tc>
        <w:tc>
          <w:tcPr>
            <w:tcW w:w="78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Initial</w:t>
            </w:r>
          </w:p>
        </w:tc>
        <w:tc>
          <w:tcPr>
            <w:tcW w:w="220" w:type="dxa"/>
            <w:vAlign w:val="bottom"/>
            <w:shd w:val="clear" w:color="auto" w:fill="395796"/>
          </w:tcPr>
          <w:p>
            <w:pPr>
              <w:spacing w:after="0"/>
              <w:rPr>
                <w:sz w:val="14"/>
                <w:szCs w:val="14"/>
                <w:color w:val="auto"/>
              </w:rPr>
            </w:pPr>
          </w:p>
        </w:tc>
        <w:tc>
          <w:tcPr>
            <w:tcW w:w="600" w:type="dxa"/>
            <w:vAlign w:val="bottom"/>
            <w:tcBorders>
              <w:right w:val="single" w:sz="8" w:color="395796"/>
            </w:tcBorders>
            <w:shd w:val="clear" w:color="auto" w:fill="39579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395796"/>
          </w:tcPr>
          <w:p>
            <w:pPr>
              <w:spacing w:after="0"/>
              <w:rPr>
                <w:sz w:val="14"/>
                <w:szCs w:val="14"/>
                <w:color w:val="auto"/>
              </w:rPr>
            </w:pPr>
          </w:p>
        </w:tc>
        <w:tc>
          <w:tcPr>
            <w:tcW w:w="1440" w:type="dxa"/>
            <w:vAlign w:val="bottom"/>
            <w:shd w:val="clear" w:color="auto" w:fill="395796"/>
          </w:tcPr>
          <w:p>
            <w:pPr>
              <w:spacing w:after="0"/>
              <w:rPr>
                <w:sz w:val="14"/>
                <w:szCs w:val="14"/>
                <w:color w:val="auto"/>
              </w:rPr>
            </w:pPr>
          </w:p>
        </w:tc>
        <w:tc>
          <w:tcPr>
            <w:tcW w:w="960" w:type="dxa"/>
            <w:vAlign w:val="bottom"/>
            <w:shd w:val="clear" w:color="auto" w:fill="395796"/>
          </w:tcPr>
          <w:p>
            <w:pPr>
              <w:spacing w:after="0"/>
              <w:rPr>
                <w:sz w:val="14"/>
                <w:szCs w:val="14"/>
                <w:color w:val="auto"/>
              </w:rPr>
            </w:pPr>
          </w:p>
        </w:tc>
        <w:tc>
          <w:tcPr>
            <w:tcW w:w="220" w:type="dxa"/>
            <w:vAlign w:val="bottom"/>
            <w:shd w:val="clear" w:color="auto" w:fill="395796"/>
          </w:tcPr>
          <w:p>
            <w:pPr>
              <w:spacing w:after="0"/>
              <w:rPr>
                <w:sz w:val="14"/>
                <w:szCs w:val="14"/>
                <w:color w:val="auto"/>
              </w:rPr>
            </w:pPr>
          </w:p>
        </w:tc>
        <w:tc>
          <w:tcPr>
            <w:tcW w:w="940" w:type="dxa"/>
            <w:vAlign w:val="bottom"/>
            <w:shd w:val="clear" w:color="auto" w:fill="395796"/>
          </w:tcPr>
          <w:p>
            <w:pPr>
              <w:spacing w:after="0"/>
              <w:rPr>
                <w:sz w:val="14"/>
                <w:szCs w:val="14"/>
                <w:color w:val="auto"/>
              </w:rPr>
            </w:pPr>
          </w:p>
        </w:tc>
        <w:tc>
          <w:tcPr>
            <w:tcW w:w="180" w:type="dxa"/>
            <w:vAlign w:val="bottom"/>
            <w:shd w:val="clear" w:color="auto" w:fill="395796"/>
          </w:tcPr>
          <w:p>
            <w:pPr>
              <w:spacing w:after="0"/>
              <w:rPr>
                <w:sz w:val="14"/>
                <w:szCs w:val="14"/>
                <w:color w:val="auto"/>
              </w:rPr>
            </w:pPr>
          </w:p>
        </w:tc>
        <w:tc>
          <w:tcPr>
            <w:tcW w:w="96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Average</w:t>
            </w:r>
          </w:p>
        </w:tc>
        <w:tc>
          <w:tcPr>
            <w:tcW w:w="220" w:type="dxa"/>
            <w:vAlign w:val="bottom"/>
            <w:shd w:val="clear" w:color="auto" w:fill="395796"/>
          </w:tcPr>
          <w:p>
            <w:pPr>
              <w:spacing w:after="0"/>
              <w:rPr>
                <w:sz w:val="14"/>
                <w:szCs w:val="14"/>
                <w:color w:val="auto"/>
              </w:rPr>
            </w:pPr>
          </w:p>
        </w:tc>
        <w:tc>
          <w:tcPr>
            <w:tcW w:w="920" w:type="dxa"/>
            <w:vAlign w:val="bottom"/>
            <w:shd w:val="clear" w:color="auto" w:fill="395796"/>
          </w:tcPr>
          <w:p>
            <w:pPr>
              <w:spacing w:after="0"/>
              <w:rPr>
                <w:sz w:val="14"/>
                <w:szCs w:val="14"/>
                <w:color w:val="auto"/>
              </w:rPr>
            </w:pPr>
          </w:p>
        </w:tc>
        <w:tc>
          <w:tcPr>
            <w:tcW w:w="200" w:type="dxa"/>
            <w:vAlign w:val="bottom"/>
            <w:shd w:val="clear" w:color="auto" w:fill="395796"/>
          </w:tcPr>
          <w:p>
            <w:pPr>
              <w:spacing w:after="0"/>
              <w:rPr>
                <w:sz w:val="14"/>
                <w:szCs w:val="14"/>
                <w:color w:val="auto"/>
              </w:rPr>
            </w:pPr>
          </w:p>
        </w:tc>
        <w:tc>
          <w:tcPr>
            <w:tcW w:w="78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Fixed $100</w:t>
            </w:r>
          </w:p>
        </w:tc>
        <w:tc>
          <w:tcPr>
            <w:tcW w:w="220" w:type="dxa"/>
            <w:vAlign w:val="bottom"/>
            <w:shd w:val="clear" w:color="auto" w:fill="395796"/>
          </w:tcPr>
          <w:p>
            <w:pPr>
              <w:spacing w:after="0"/>
              <w:rPr>
                <w:sz w:val="14"/>
                <w:szCs w:val="14"/>
                <w:color w:val="auto"/>
              </w:rPr>
            </w:pPr>
          </w:p>
        </w:tc>
        <w:tc>
          <w:tcPr>
            <w:tcW w:w="600" w:type="dxa"/>
            <w:vAlign w:val="bottom"/>
            <w:tcBorders>
              <w:right w:val="single" w:sz="8" w:color="395796"/>
            </w:tcBorders>
            <w:shd w:val="clear" w:color="auto" w:fill="39579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395796"/>
          </w:tcPr>
          <w:p>
            <w:pPr>
              <w:spacing w:after="0"/>
              <w:rPr>
                <w:sz w:val="14"/>
                <w:szCs w:val="14"/>
                <w:color w:val="auto"/>
              </w:rPr>
            </w:pPr>
          </w:p>
        </w:tc>
        <w:tc>
          <w:tcPr>
            <w:tcW w:w="1440" w:type="dxa"/>
            <w:vAlign w:val="bottom"/>
            <w:shd w:val="clear" w:color="auto" w:fill="395796"/>
          </w:tcPr>
          <w:p>
            <w:pPr>
              <w:spacing w:after="0"/>
              <w:rPr>
                <w:sz w:val="14"/>
                <w:szCs w:val="14"/>
                <w:color w:val="auto"/>
              </w:rPr>
            </w:pPr>
          </w:p>
        </w:tc>
        <w:tc>
          <w:tcPr>
            <w:tcW w:w="960" w:type="dxa"/>
            <w:vAlign w:val="bottom"/>
            <w:shd w:val="clear" w:color="auto" w:fill="395796"/>
          </w:tcPr>
          <w:p>
            <w:pPr>
              <w:spacing w:after="0"/>
              <w:rPr>
                <w:sz w:val="14"/>
                <w:szCs w:val="14"/>
                <w:color w:val="auto"/>
              </w:rPr>
            </w:pPr>
          </w:p>
        </w:tc>
        <w:tc>
          <w:tcPr>
            <w:tcW w:w="220" w:type="dxa"/>
            <w:vAlign w:val="bottom"/>
            <w:shd w:val="clear" w:color="auto" w:fill="395796"/>
          </w:tcPr>
          <w:p>
            <w:pPr>
              <w:spacing w:after="0"/>
              <w:rPr>
                <w:sz w:val="14"/>
                <w:szCs w:val="14"/>
                <w:color w:val="auto"/>
              </w:rPr>
            </w:pPr>
          </w:p>
        </w:tc>
        <w:tc>
          <w:tcPr>
            <w:tcW w:w="940" w:type="dxa"/>
            <w:vAlign w:val="bottom"/>
            <w:shd w:val="clear" w:color="auto" w:fill="395796"/>
          </w:tcPr>
          <w:p>
            <w:pPr>
              <w:spacing w:after="0"/>
              <w:rPr>
                <w:sz w:val="14"/>
                <w:szCs w:val="14"/>
                <w:color w:val="auto"/>
              </w:rPr>
            </w:pPr>
          </w:p>
        </w:tc>
        <w:tc>
          <w:tcPr>
            <w:tcW w:w="180" w:type="dxa"/>
            <w:vAlign w:val="bottom"/>
            <w:shd w:val="clear" w:color="auto" w:fill="395796"/>
          </w:tcPr>
          <w:p>
            <w:pPr>
              <w:spacing w:after="0"/>
              <w:rPr>
                <w:sz w:val="14"/>
                <w:szCs w:val="14"/>
                <w:color w:val="auto"/>
              </w:rPr>
            </w:pPr>
          </w:p>
        </w:tc>
        <w:tc>
          <w:tcPr>
            <w:tcW w:w="96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Summary</w:t>
            </w:r>
          </w:p>
        </w:tc>
        <w:tc>
          <w:tcPr>
            <w:tcW w:w="220" w:type="dxa"/>
            <w:vAlign w:val="bottom"/>
            <w:shd w:val="clear" w:color="auto" w:fill="395796"/>
          </w:tcPr>
          <w:p>
            <w:pPr>
              <w:spacing w:after="0"/>
              <w:rPr>
                <w:sz w:val="14"/>
                <w:szCs w:val="14"/>
                <w:color w:val="auto"/>
              </w:rPr>
            </w:pPr>
          </w:p>
        </w:tc>
        <w:tc>
          <w:tcPr>
            <w:tcW w:w="92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Average</w:t>
            </w:r>
          </w:p>
        </w:tc>
        <w:tc>
          <w:tcPr>
            <w:tcW w:w="200" w:type="dxa"/>
            <w:vAlign w:val="bottom"/>
            <w:shd w:val="clear" w:color="auto" w:fill="395796"/>
          </w:tcPr>
          <w:p>
            <w:pPr>
              <w:spacing w:after="0"/>
              <w:rPr>
                <w:sz w:val="14"/>
                <w:szCs w:val="14"/>
                <w:color w:val="auto"/>
              </w:rPr>
            </w:pPr>
          </w:p>
        </w:tc>
        <w:tc>
          <w:tcPr>
            <w:tcW w:w="78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w w:val="97"/>
              </w:rPr>
              <w:t>Investment</w:t>
            </w:r>
          </w:p>
        </w:tc>
        <w:tc>
          <w:tcPr>
            <w:tcW w:w="220" w:type="dxa"/>
            <w:vAlign w:val="bottom"/>
            <w:shd w:val="clear" w:color="auto" w:fill="395796"/>
          </w:tcPr>
          <w:p>
            <w:pPr>
              <w:spacing w:after="0"/>
              <w:rPr>
                <w:sz w:val="14"/>
                <w:szCs w:val="14"/>
                <w:color w:val="auto"/>
              </w:rPr>
            </w:pPr>
          </w:p>
        </w:tc>
        <w:tc>
          <w:tcPr>
            <w:tcW w:w="600" w:type="dxa"/>
            <w:vAlign w:val="bottom"/>
            <w:tcBorders>
              <w:right w:val="single" w:sz="8" w:color="395796"/>
            </w:tcBorders>
            <w:shd w:val="clear" w:color="auto" w:fill="39579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395796"/>
          </w:tcPr>
          <w:p>
            <w:pPr>
              <w:spacing w:after="0"/>
              <w:rPr>
                <w:sz w:val="14"/>
                <w:szCs w:val="14"/>
                <w:color w:val="auto"/>
              </w:rPr>
            </w:pPr>
          </w:p>
        </w:tc>
        <w:tc>
          <w:tcPr>
            <w:tcW w:w="1440" w:type="dxa"/>
            <w:vAlign w:val="bottom"/>
            <w:shd w:val="clear" w:color="auto" w:fill="395796"/>
          </w:tcPr>
          <w:p>
            <w:pPr>
              <w:spacing w:after="0"/>
              <w:rPr>
                <w:sz w:val="14"/>
                <w:szCs w:val="14"/>
                <w:color w:val="auto"/>
              </w:rPr>
            </w:pPr>
          </w:p>
        </w:tc>
        <w:tc>
          <w:tcPr>
            <w:tcW w:w="96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Summary</w:t>
            </w:r>
          </w:p>
        </w:tc>
        <w:tc>
          <w:tcPr>
            <w:tcW w:w="220" w:type="dxa"/>
            <w:vAlign w:val="bottom"/>
            <w:shd w:val="clear" w:color="auto" w:fill="395796"/>
          </w:tcPr>
          <w:p>
            <w:pPr>
              <w:spacing w:after="0"/>
              <w:rPr>
                <w:sz w:val="14"/>
                <w:szCs w:val="14"/>
                <w:color w:val="auto"/>
              </w:rPr>
            </w:pPr>
          </w:p>
        </w:tc>
        <w:tc>
          <w:tcPr>
            <w:tcW w:w="940" w:type="dxa"/>
            <w:vAlign w:val="bottom"/>
            <w:shd w:val="clear" w:color="auto" w:fill="395796"/>
          </w:tcPr>
          <w:p>
            <w:pPr>
              <w:spacing w:after="0"/>
              <w:rPr>
                <w:sz w:val="14"/>
                <w:szCs w:val="14"/>
                <w:color w:val="auto"/>
              </w:rPr>
            </w:pPr>
          </w:p>
        </w:tc>
        <w:tc>
          <w:tcPr>
            <w:tcW w:w="1140" w:type="dxa"/>
            <w:vAlign w:val="bottom"/>
            <w:gridSpan w:val="2"/>
            <w:shd w:val="clear" w:color="auto" w:fill="395796"/>
          </w:tcPr>
          <w:p>
            <w:pPr>
              <w:jc w:val="right"/>
              <w:spacing w:after="0"/>
              <w:rPr>
                <w:sz w:val="20"/>
                <w:szCs w:val="20"/>
                <w:color w:val="auto"/>
              </w:rPr>
            </w:pPr>
            <w:r>
              <w:rPr>
                <w:rFonts w:ascii="Arial" w:cs="Arial" w:eastAsia="Arial" w:hAnsi="Arial"/>
                <w:sz w:val="14"/>
                <w:szCs w:val="14"/>
                <w:b w:val="1"/>
                <w:bCs w:val="1"/>
                <w:color w:val="FFFFFF"/>
              </w:rPr>
              <w:t>Compensation</w:t>
            </w:r>
          </w:p>
        </w:tc>
        <w:tc>
          <w:tcPr>
            <w:tcW w:w="1140" w:type="dxa"/>
            <w:vAlign w:val="bottom"/>
            <w:gridSpan w:val="2"/>
            <w:shd w:val="clear" w:color="auto" w:fill="395796"/>
          </w:tcPr>
          <w:p>
            <w:pPr>
              <w:jc w:val="right"/>
              <w:spacing w:after="0"/>
              <w:rPr>
                <w:sz w:val="20"/>
                <w:szCs w:val="20"/>
                <w:color w:val="auto"/>
              </w:rPr>
            </w:pPr>
            <w:r>
              <w:rPr>
                <w:rFonts w:ascii="Arial" w:cs="Arial" w:eastAsia="Arial" w:hAnsi="Arial"/>
                <w:sz w:val="14"/>
                <w:szCs w:val="14"/>
                <w:b w:val="1"/>
                <w:bCs w:val="1"/>
                <w:color w:val="FFFFFF"/>
              </w:rPr>
              <w:t>Compensation</w:t>
            </w:r>
          </w:p>
        </w:tc>
        <w:tc>
          <w:tcPr>
            <w:tcW w:w="200" w:type="dxa"/>
            <w:vAlign w:val="bottom"/>
            <w:shd w:val="clear" w:color="auto" w:fill="395796"/>
          </w:tcPr>
          <w:p>
            <w:pPr>
              <w:spacing w:after="0"/>
              <w:rPr>
                <w:sz w:val="14"/>
                <w:szCs w:val="14"/>
                <w:color w:val="auto"/>
              </w:rPr>
            </w:pPr>
          </w:p>
        </w:tc>
        <w:tc>
          <w:tcPr>
            <w:tcW w:w="78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Based On</w:t>
            </w:r>
          </w:p>
        </w:tc>
        <w:tc>
          <w:tcPr>
            <w:tcW w:w="220" w:type="dxa"/>
            <w:vAlign w:val="bottom"/>
            <w:shd w:val="clear" w:color="auto" w:fill="395796"/>
          </w:tcPr>
          <w:p>
            <w:pPr>
              <w:spacing w:after="0"/>
              <w:rPr>
                <w:sz w:val="14"/>
                <w:szCs w:val="14"/>
                <w:color w:val="auto"/>
              </w:rPr>
            </w:pPr>
          </w:p>
        </w:tc>
        <w:tc>
          <w:tcPr>
            <w:tcW w:w="600" w:type="dxa"/>
            <w:vAlign w:val="bottom"/>
            <w:tcBorders>
              <w:right w:val="single" w:sz="8" w:color="395796"/>
            </w:tcBorders>
            <w:shd w:val="clear" w:color="auto" w:fill="39579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395796"/>
          </w:tcPr>
          <w:p>
            <w:pPr>
              <w:spacing w:after="0"/>
              <w:rPr>
                <w:sz w:val="14"/>
                <w:szCs w:val="14"/>
                <w:color w:val="auto"/>
              </w:rPr>
            </w:pPr>
          </w:p>
        </w:tc>
        <w:tc>
          <w:tcPr>
            <w:tcW w:w="2400" w:type="dxa"/>
            <w:vAlign w:val="bottom"/>
            <w:gridSpan w:val="2"/>
            <w:shd w:val="clear" w:color="auto" w:fill="395796"/>
          </w:tcPr>
          <w:p>
            <w:pPr>
              <w:jc w:val="right"/>
              <w:spacing w:after="0"/>
              <w:rPr>
                <w:sz w:val="20"/>
                <w:szCs w:val="20"/>
                <w:color w:val="auto"/>
              </w:rPr>
            </w:pPr>
            <w:r>
              <w:rPr>
                <w:rFonts w:ascii="Arial" w:cs="Arial" w:eastAsia="Arial" w:hAnsi="Arial"/>
                <w:sz w:val="14"/>
                <w:szCs w:val="14"/>
                <w:b w:val="1"/>
                <w:bCs w:val="1"/>
                <w:color w:val="FFFFFF"/>
              </w:rPr>
              <w:t>Compensation</w:t>
            </w:r>
          </w:p>
        </w:tc>
        <w:tc>
          <w:tcPr>
            <w:tcW w:w="1160" w:type="dxa"/>
            <w:vAlign w:val="bottom"/>
            <w:gridSpan w:val="2"/>
            <w:shd w:val="clear" w:color="auto" w:fill="395796"/>
          </w:tcPr>
          <w:p>
            <w:pPr>
              <w:jc w:val="right"/>
              <w:spacing w:after="0"/>
              <w:rPr>
                <w:sz w:val="20"/>
                <w:szCs w:val="20"/>
                <w:color w:val="auto"/>
              </w:rPr>
            </w:pPr>
            <w:r>
              <w:rPr>
                <w:rFonts w:ascii="Arial" w:cs="Arial" w:eastAsia="Arial" w:hAnsi="Arial"/>
                <w:sz w:val="14"/>
                <w:szCs w:val="14"/>
                <w:b w:val="1"/>
                <w:bCs w:val="1"/>
                <w:color w:val="FFFFFF"/>
              </w:rPr>
              <w:t>Compensation</w:t>
            </w:r>
          </w:p>
        </w:tc>
        <w:tc>
          <w:tcPr>
            <w:tcW w:w="180" w:type="dxa"/>
            <w:vAlign w:val="bottom"/>
            <w:shd w:val="clear" w:color="auto" w:fill="395796"/>
          </w:tcPr>
          <w:p>
            <w:pPr>
              <w:spacing w:after="0"/>
              <w:rPr>
                <w:sz w:val="14"/>
                <w:szCs w:val="14"/>
                <w:color w:val="auto"/>
              </w:rPr>
            </w:pPr>
          </w:p>
        </w:tc>
        <w:tc>
          <w:tcPr>
            <w:tcW w:w="96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w w:val="91"/>
              </w:rPr>
              <w:t>Table Total for</w:t>
            </w:r>
          </w:p>
        </w:tc>
        <w:tc>
          <w:tcPr>
            <w:tcW w:w="220" w:type="dxa"/>
            <w:vAlign w:val="bottom"/>
            <w:shd w:val="clear" w:color="auto" w:fill="395796"/>
          </w:tcPr>
          <w:p>
            <w:pPr>
              <w:spacing w:after="0"/>
              <w:rPr>
                <w:sz w:val="14"/>
                <w:szCs w:val="14"/>
                <w:color w:val="auto"/>
              </w:rPr>
            </w:pPr>
          </w:p>
        </w:tc>
        <w:tc>
          <w:tcPr>
            <w:tcW w:w="92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w w:val="95"/>
              </w:rPr>
              <w:t>Actually Paid</w:t>
            </w:r>
          </w:p>
        </w:tc>
        <w:tc>
          <w:tcPr>
            <w:tcW w:w="200" w:type="dxa"/>
            <w:vAlign w:val="bottom"/>
            <w:shd w:val="clear" w:color="auto" w:fill="395796"/>
          </w:tcPr>
          <w:p>
            <w:pPr>
              <w:spacing w:after="0"/>
              <w:rPr>
                <w:sz w:val="14"/>
                <w:szCs w:val="14"/>
                <w:color w:val="auto"/>
              </w:rPr>
            </w:pPr>
          </w:p>
        </w:tc>
        <w:tc>
          <w:tcPr>
            <w:tcW w:w="78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Total</w:t>
            </w:r>
          </w:p>
        </w:tc>
        <w:tc>
          <w:tcPr>
            <w:tcW w:w="220" w:type="dxa"/>
            <w:vAlign w:val="bottom"/>
            <w:shd w:val="clear" w:color="auto" w:fill="395796"/>
          </w:tcPr>
          <w:p>
            <w:pPr>
              <w:spacing w:after="0"/>
              <w:rPr>
                <w:sz w:val="14"/>
                <w:szCs w:val="14"/>
                <w:color w:val="auto"/>
              </w:rPr>
            </w:pPr>
          </w:p>
        </w:tc>
        <w:tc>
          <w:tcPr>
            <w:tcW w:w="600" w:type="dxa"/>
            <w:vAlign w:val="bottom"/>
            <w:tcBorders>
              <w:right w:val="single" w:sz="8" w:color="395796"/>
            </w:tcBorders>
            <w:shd w:val="clear" w:color="auto" w:fill="395796"/>
          </w:tcPr>
          <w:p>
            <w:pPr>
              <w:jc w:val="right"/>
              <w:ind w:right="8"/>
              <w:spacing w:after="0"/>
              <w:rPr>
                <w:sz w:val="20"/>
                <w:szCs w:val="20"/>
                <w:color w:val="auto"/>
              </w:rPr>
            </w:pPr>
            <w:r>
              <w:rPr>
                <w:rFonts w:ascii="Arial" w:cs="Arial" w:eastAsia="Arial" w:hAnsi="Arial"/>
                <w:sz w:val="14"/>
                <w:szCs w:val="14"/>
                <w:b w:val="1"/>
                <w:bCs w:val="1"/>
                <w:color w:val="FFFFFF"/>
              </w:rPr>
              <w:t>Net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60" w:type="dxa"/>
            <w:vAlign w:val="bottom"/>
            <w:shd w:val="clear" w:color="auto" w:fill="395796"/>
          </w:tcPr>
          <w:p>
            <w:pPr>
              <w:spacing w:after="0"/>
              <w:rPr>
                <w:sz w:val="14"/>
                <w:szCs w:val="14"/>
                <w:color w:val="auto"/>
              </w:rPr>
            </w:pPr>
          </w:p>
        </w:tc>
        <w:tc>
          <w:tcPr>
            <w:tcW w:w="1440" w:type="dxa"/>
            <w:vAlign w:val="bottom"/>
            <w:shd w:val="clear" w:color="auto" w:fill="395796"/>
          </w:tcPr>
          <w:p>
            <w:pPr>
              <w:spacing w:after="0"/>
              <w:rPr>
                <w:sz w:val="14"/>
                <w:szCs w:val="14"/>
                <w:color w:val="auto"/>
              </w:rPr>
            </w:pPr>
          </w:p>
        </w:tc>
        <w:tc>
          <w:tcPr>
            <w:tcW w:w="96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w w:val="91"/>
              </w:rPr>
              <w:t>Table Total for</w:t>
            </w:r>
          </w:p>
        </w:tc>
        <w:tc>
          <w:tcPr>
            <w:tcW w:w="220" w:type="dxa"/>
            <w:vAlign w:val="bottom"/>
            <w:shd w:val="clear" w:color="auto" w:fill="395796"/>
          </w:tcPr>
          <w:p>
            <w:pPr>
              <w:spacing w:after="0"/>
              <w:rPr>
                <w:sz w:val="14"/>
                <w:szCs w:val="14"/>
                <w:color w:val="auto"/>
              </w:rPr>
            </w:pPr>
          </w:p>
        </w:tc>
        <w:tc>
          <w:tcPr>
            <w:tcW w:w="94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w w:val="97"/>
              </w:rPr>
              <w:t>Actually Paid</w:t>
            </w:r>
          </w:p>
        </w:tc>
        <w:tc>
          <w:tcPr>
            <w:tcW w:w="180" w:type="dxa"/>
            <w:vAlign w:val="bottom"/>
            <w:shd w:val="clear" w:color="auto" w:fill="395796"/>
          </w:tcPr>
          <w:p>
            <w:pPr>
              <w:spacing w:after="0"/>
              <w:rPr>
                <w:sz w:val="14"/>
                <w:szCs w:val="14"/>
                <w:color w:val="auto"/>
              </w:rPr>
            </w:pPr>
          </w:p>
        </w:tc>
        <w:tc>
          <w:tcPr>
            <w:tcW w:w="96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Non-PEO</w:t>
            </w:r>
          </w:p>
        </w:tc>
        <w:tc>
          <w:tcPr>
            <w:tcW w:w="220" w:type="dxa"/>
            <w:vAlign w:val="bottom"/>
            <w:shd w:val="clear" w:color="auto" w:fill="395796"/>
          </w:tcPr>
          <w:p>
            <w:pPr>
              <w:spacing w:after="0"/>
              <w:rPr>
                <w:sz w:val="14"/>
                <w:szCs w:val="14"/>
                <w:color w:val="auto"/>
              </w:rPr>
            </w:pPr>
          </w:p>
        </w:tc>
        <w:tc>
          <w:tcPr>
            <w:tcW w:w="92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to Non-PEO</w:t>
            </w:r>
          </w:p>
        </w:tc>
        <w:tc>
          <w:tcPr>
            <w:tcW w:w="980" w:type="dxa"/>
            <w:vAlign w:val="bottom"/>
            <w:gridSpan w:val="2"/>
            <w:shd w:val="clear" w:color="auto" w:fill="395796"/>
          </w:tcPr>
          <w:p>
            <w:pPr>
              <w:jc w:val="right"/>
              <w:spacing w:after="0"/>
              <w:rPr>
                <w:sz w:val="20"/>
                <w:szCs w:val="20"/>
                <w:color w:val="auto"/>
              </w:rPr>
            </w:pPr>
            <w:r>
              <w:rPr>
                <w:rFonts w:ascii="Arial" w:cs="Arial" w:eastAsia="Arial" w:hAnsi="Arial"/>
                <w:sz w:val="14"/>
                <w:szCs w:val="14"/>
                <w:b w:val="1"/>
                <w:bCs w:val="1"/>
                <w:color w:val="FFFFFF"/>
              </w:rPr>
              <w:t>Shareholder</w:t>
            </w:r>
          </w:p>
        </w:tc>
        <w:tc>
          <w:tcPr>
            <w:tcW w:w="220" w:type="dxa"/>
            <w:vAlign w:val="bottom"/>
            <w:shd w:val="clear" w:color="auto" w:fill="395796"/>
          </w:tcPr>
          <w:p>
            <w:pPr>
              <w:spacing w:after="0"/>
              <w:rPr>
                <w:sz w:val="14"/>
                <w:szCs w:val="14"/>
                <w:color w:val="auto"/>
              </w:rPr>
            </w:pPr>
          </w:p>
        </w:tc>
        <w:tc>
          <w:tcPr>
            <w:tcW w:w="600" w:type="dxa"/>
            <w:vAlign w:val="bottom"/>
            <w:tcBorders>
              <w:right w:val="single" w:sz="8" w:color="395796"/>
            </w:tcBorders>
            <w:shd w:val="clear" w:color="auto" w:fill="395796"/>
          </w:tcPr>
          <w:p>
            <w:pPr>
              <w:jc w:val="right"/>
              <w:ind w:right="8"/>
              <w:spacing w:after="0"/>
              <w:rPr>
                <w:sz w:val="20"/>
                <w:szCs w:val="20"/>
                <w:color w:val="auto"/>
              </w:rPr>
            </w:pPr>
            <w:r>
              <w:rPr>
                <w:rFonts w:ascii="Arial" w:cs="Arial" w:eastAsia="Arial" w:hAnsi="Arial"/>
                <w:sz w:val="14"/>
                <w:szCs w:val="14"/>
                <w:b w:val="1"/>
                <w:bCs w:val="1"/>
                <w:color w:val="FFFFFF"/>
              </w:rPr>
              <w:t>Income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395796"/>
          </w:tcPr>
          <w:p>
            <w:pPr>
              <w:ind w:left="60"/>
              <w:spacing w:after="0" w:line="145" w:lineRule="exact"/>
              <w:rPr>
                <w:sz w:val="20"/>
                <w:szCs w:val="20"/>
                <w:color w:val="auto"/>
              </w:rPr>
            </w:pPr>
            <w:r>
              <w:rPr>
                <w:rFonts w:ascii="Arial" w:cs="Arial" w:eastAsia="Arial" w:hAnsi="Arial"/>
                <w:sz w:val="14"/>
                <w:szCs w:val="14"/>
                <w:b w:val="1"/>
                <w:bCs w:val="1"/>
                <w:color w:val="FFFFFF"/>
              </w:rPr>
              <w:t>Year</w:t>
            </w:r>
          </w:p>
        </w:tc>
        <w:tc>
          <w:tcPr>
            <w:tcW w:w="1440" w:type="dxa"/>
            <w:vAlign w:val="bottom"/>
            <w:vMerge w:val="restart"/>
            <w:shd w:val="clear" w:color="auto" w:fill="395796"/>
          </w:tcPr>
          <w:p>
            <w:pPr>
              <w:ind w:left="1320"/>
              <w:spacing w:after="0"/>
              <w:rPr>
                <w:sz w:val="20"/>
                <w:szCs w:val="20"/>
                <w:color w:val="auto"/>
              </w:rPr>
            </w:pPr>
            <w:r>
              <w:rPr>
                <w:rFonts w:ascii="Arial" w:cs="Arial" w:eastAsia="Arial" w:hAnsi="Arial"/>
                <w:sz w:val="14"/>
                <w:szCs w:val="14"/>
                <w:b w:val="1"/>
                <w:bCs w:val="1"/>
                <w:color w:val="FFFFFF"/>
              </w:rPr>
              <w:t>​ ​</w:t>
            </w:r>
          </w:p>
        </w:tc>
        <w:tc>
          <w:tcPr>
            <w:tcW w:w="960" w:type="dxa"/>
            <w:vAlign w:val="bottom"/>
            <w:shd w:val="clear" w:color="auto" w:fill="395796"/>
          </w:tcPr>
          <w:p>
            <w:pPr>
              <w:ind w:left="320"/>
              <w:spacing w:after="0" w:line="145" w:lineRule="exact"/>
              <w:rPr>
                <w:sz w:val="20"/>
                <w:szCs w:val="20"/>
                <w:color w:val="auto"/>
              </w:rPr>
            </w:pPr>
            <w:r>
              <w:rPr>
                <w:rFonts w:ascii="Arial" w:cs="Arial" w:eastAsia="Arial" w:hAnsi="Arial"/>
                <w:sz w:val="14"/>
                <w:szCs w:val="14"/>
                <w:b w:val="1"/>
                <w:bCs w:val="1"/>
                <w:color w:val="FFFFFF"/>
                <w:w w:val="93"/>
              </w:rPr>
              <w:t>Mr. Bruun</w:t>
            </w:r>
          </w:p>
        </w:tc>
        <w:tc>
          <w:tcPr>
            <w:tcW w:w="220" w:type="dxa"/>
            <w:vAlign w:val="bottom"/>
            <w:vMerge w:val="restart"/>
            <w:shd w:val="clear" w:color="auto" w:fill="395796"/>
          </w:tcPr>
          <w:p>
            <w:pPr>
              <w:ind w:left="60"/>
              <w:spacing w:after="0"/>
              <w:rPr>
                <w:sz w:val="20"/>
                <w:szCs w:val="20"/>
                <w:color w:val="auto"/>
              </w:rPr>
            </w:pPr>
            <w:r>
              <w:rPr>
                <w:rFonts w:ascii="Arial" w:cs="Arial" w:eastAsia="Arial" w:hAnsi="Arial"/>
                <w:sz w:val="14"/>
                <w:szCs w:val="14"/>
                <w:b w:val="1"/>
                <w:bCs w:val="1"/>
                <w:color w:val="FFFFFF"/>
              </w:rPr>
              <w:t>​ ​</w:t>
            </w:r>
          </w:p>
        </w:tc>
        <w:tc>
          <w:tcPr>
            <w:tcW w:w="940" w:type="dxa"/>
            <w:vAlign w:val="bottom"/>
            <w:shd w:val="clear" w:color="auto" w:fill="395796"/>
          </w:tcPr>
          <w:p>
            <w:pPr>
              <w:jc w:val="right"/>
              <w:spacing w:after="0" w:line="145" w:lineRule="exact"/>
              <w:rPr>
                <w:sz w:val="20"/>
                <w:szCs w:val="20"/>
                <w:color w:val="auto"/>
              </w:rPr>
            </w:pPr>
            <w:r>
              <w:rPr>
                <w:rFonts w:ascii="Arial" w:cs="Arial" w:eastAsia="Arial" w:hAnsi="Arial"/>
                <w:sz w:val="14"/>
                <w:szCs w:val="14"/>
                <w:b w:val="1"/>
                <w:bCs w:val="1"/>
                <w:color w:val="FFFFFF"/>
              </w:rPr>
              <w:t>to Mr. Bruun</w:t>
            </w:r>
          </w:p>
        </w:tc>
        <w:tc>
          <w:tcPr>
            <w:tcW w:w="180" w:type="dxa"/>
            <w:vAlign w:val="bottom"/>
            <w:vMerge w:val="restart"/>
            <w:shd w:val="clear" w:color="auto" w:fill="395796"/>
          </w:tcPr>
          <w:p>
            <w:pPr>
              <w:ind w:left="60"/>
              <w:spacing w:after="0"/>
              <w:rPr>
                <w:sz w:val="20"/>
                <w:szCs w:val="20"/>
                <w:color w:val="auto"/>
              </w:rPr>
            </w:pPr>
            <w:r>
              <w:rPr>
                <w:rFonts w:ascii="Arial" w:cs="Arial" w:eastAsia="Arial" w:hAnsi="Arial"/>
                <w:sz w:val="14"/>
                <w:szCs w:val="14"/>
                <w:b w:val="1"/>
                <w:bCs w:val="1"/>
                <w:color w:val="FFFFFF"/>
              </w:rPr>
              <w:t>​ ​</w:t>
            </w:r>
          </w:p>
        </w:tc>
        <w:tc>
          <w:tcPr>
            <w:tcW w:w="960" w:type="dxa"/>
            <w:vAlign w:val="bottom"/>
            <w:shd w:val="clear" w:color="auto" w:fill="395796"/>
          </w:tcPr>
          <w:p>
            <w:pPr>
              <w:jc w:val="right"/>
              <w:spacing w:after="0" w:line="145" w:lineRule="exact"/>
              <w:rPr>
                <w:sz w:val="20"/>
                <w:szCs w:val="20"/>
                <w:color w:val="auto"/>
              </w:rPr>
            </w:pPr>
            <w:r>
              <w:rPr>
                <w:rFonts w:ascii="Arial" w:cs="Arial" w:eastAsia="Arial" w:hAnsi="Arial"/>
                <w:sz w:val="14"/>
                <w:szCs w:val="14"/>
                <w:b w:val="1"/>
                <w:bCs w:val="1"/>
                <w:color w:val="FFFFFF"/>
              </w:rPr>
              <w:t>NEOs</w:t>
            </w:r>
          </w:p>
        </w:tc>
        <w:tc>
          <w:tcPr>
            <w:tcW w:w="220" w:type="dxa"/>
            <w:vAlign w:val="bottom"/>
            <w:vMerge w:val="restart"/>
            <w:shd w:val="clear" w:color="auto" w:fill="395796"/>
          </w:tcPr>
          <w:p>
            <w:pPr>
              <w:ind w:left="60"/>
              <w:spacing w:after="0"/>
              <w:rPr>
                <w:sz w:val="20"/>
                <w:szCs w:val="20"/>
                <w:color w:val="auto"/>
              </w:rPr>
            </w:pPr>
            <w:r>
              <w:rPr>
                <w:rFonts w:ascii="Arial" w:cs="Arial" w:eastAsia="Arial" w:hAnsi="Arial"/>
                <w:sz w:val="14"/>
                <w:szCs w:val="14"/>
                <w:b w:val="1"/>
                <w:bCs w:val="1"/>
                <w:color w:val="FFFFFF"/>
              </w:rPr>
              <w:t>​ ​</w:t>
            </w:r>
          </w:p>
        </w:tc>
        <w:tc>
          <w:tcPr>
            <w:tcW w:w="920" w:type="dxa"/>
            <w:vAlign w:val="bottom"/>
            <w:shd w:val="clear" w:color="auto" w:fill="395796"/>
          </w:tcPr>
          <w:p>
            <w:pPr>
              <w:jc w:val="right"/>
              <w:spacing w:after="0" w:line="145" w:lineRule="exact"/>
              <w:rPr>
                <w:sz w:val="20"/>
                <w:szCs w:val="20"/>
                <w:color w:val="auto"/>
              </w:rPr>
            </w:pPr>
            <w:r>
              <w:rPr>
                <w:rFonts w:ascii="Arial" w:cs="Arial" w:eastAsia="Arial" w:hAnsi="Arial"/>
                <w:sz w:val="14"/>
                <w:szCs w:val="14"/>
                <w:b w:val="1"/>
                <w:bCs w:val="1"/>
                <w:color w:val="FFFFFF"/>
              </w:rPr>
              <w:t>NEOs</w:t>
            </w:r>
          </w:p>
        </w:tc>
        <w:tc>
          <w:tcPr>
            <w:tcW w:w="200" w:type="dxa"/>
            <w:vAlign w:val="bottom"/>
            <w:vMerge w:val="restart"/>
            <w:shd w:val="clear" w:color="auto" w:fill="395796"/>
          </w:tcPr>
          <w:p>
            <w:pPr>
              <w:ind w:left="60"/>
              <w:spacing w:after="0"/>
              <w:rPr>
                <w:sz w:val="20"/>
                <w:szCs w:val="20"/>
                <w:color w:val="auto"/>
              </w:rPr>
            </w:pPr>
            <w:r>
              <w:rPr>
                <w:rFonts w:ascii="Arial" w:cs="Arial" w:eastAsia="Arial" w:hAnsi="Arial"/>
                <w:sz w:val="14"/>
                <w:szCs w:val="14"/>
                <w:b w:val="1"/>
                <w:bCs w:val="1"/>
                <w:color w:val="FFFFFF"/>
              </w:rPr>
              <w:t>​ ​</w:t>
            </w:r>
          </w:p>
        </w:tc>
        <w:tc>
          <w:tcPr>
            <w:tcW w:w="780" w:type="dxa"/>
            <w:vAlign w:val="bottom"/>
            <w:shd w:val="clear" w:color="auto" w:fill="395796"/>
          </w:tcPr>
          <w:p>
            <w:pPr>
              <w:jc w:val="right"/>
              <w:spacing w:after="0" w:line="145" w:lineRule="exact"/>
              <w:rPr>
                <w:sz w:val="20"/>
                <w:szCs w:val="20"/>
                <w:color w:val="auto"/>
              </w:rPr>
            </w:pPr>
            <w:r>
              <w:rPr>
                <w:rFonts w:ascii="Arial" w:cs="Arial" w:eastAsia="Arial" w:hAnsi="Arial"/>
                <w:sz w:val="14"/>
                <w:szCs w:val="14"/>
                <w:b w:val="1"/>
                <w:bCs w:val="1"/>
                <w:color w:val="FFFFFF"/>
              </w:rPr>
              <w:t>Return</w:t>
            </w:r>
            <w:r>
              <w:rPr>
                <w:rFonts w:ascii="Arial" w:cs="Arial" w:eastAsia="Arial" w:hAnsi="Arial"/>
                <w:sz w:val="16"/>
                <w:szCs w:val="16"/>
                <w:b w:val="1"/>
                <w:bCs w:val="1"/>
                <w:color w:val="FFFFFF"/>
                <w:vertAlign w:val="superscript"/>
              </w:rPr>
              <w:t>(1)</w:t>
            </w:r>
          </w:p>
        </w:tc>
        <w:tc>
          <w:tcPr>
            <w:tcW w:w="220" w:type="dxa"/>
            <w:vAlign w:val="bottom"/>
            <w:vMerge w:val="restart"/>
            <w:shd w:val="clear" w:color="auto" w:fill="395796"/>
          </w:tcPr>
          <w:p>
            <w:pPr>
              <w:ind w:left="80"/>
              <w:spacing w:after="0"/>
              <w:rPr>
                <w:sz w:val="20"/>
                <w:szCs w:val="20"/>
                <w:color w:val="auto"/>
              </w:rPr>
            </w:pPr>
            <w:r>
              <w:rPr>
                <w:rFonts w:ascii="Arial" w:cs="Arial" w:eastAsia="Arial" w:hAnsi="Arial"/>
                <w:sz w:val="14"/>
                <w:szCs w:val="14"/>
                <w:b w:val="1"/>
                <w:bCs w:val="1"/>
                <w:color w:val="FFFFFF"/>
              </w:rPr>
              <w:t>​ ​</w:t>
            </w:r>
          </w:p>
        </w:tc>
        <w:tc>
          <w:tcPr>
            <w:tcW w:w="600" w:type="dxa"/>
            <w:vAlign w:val="bottom"/>
            <w:tcBorders>
              <w:right w:val="single" w:sz="8" w:color="395796"/>
            </w:tcBorders>
            <w:shd w:val="clear" w:color="auto" w:fill="395796"/>
          </w:tcPr>
          <w:p>
            <w:pPr>
              <w:jc w:val="right"/>
              <w:spacing w:after="0" w:line="145" w:lineRule="exact"/>
              <w:rPr>
                <w:sz w:val="20"/>
                <w:szCs w:val="20"/>
                <w:color w:val="auto"/>
              </w:rPr>
            </w:pPr>
            <w:r>
              <w:rPr>
                <w:rFonts w:ascii="Arial" w:cs="Arial" w:eastAsia="Arial" w:hAnsi="Arial"/>
                <w:sz w:val="14"/>
                <w:szCs w:val="14"/>
                <w:b w:val="1"/>
                <w:bCs w:val="1"/>
                <w:color w:val="FFFFFF"/>
              </w:rPr>
              <w:t>($000s)</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54"/>
        </w:trPr>
        <w:tc>
          <w:tcPr>
            <w:tcW w:w="1660" w:type="dxa"/>
            <w:vAlign w:val="bottom"/>
            <w:shd w:val="clear" w:color="auto" w:fill="395796"/>
          </w:tcPr>
          <w:p>
            <w:pPr>
              <w:ind w:left="60"/>
              <w:spacing w:after="0" w:line="54" w:lineRule="exact"/>
              <w:rPr>
                <w:sz w:val="20"/>
                <w:szCs w:val="20"/>
                <w:color w:val="auto"/>
              </w:rPr>
            </w:pPr>
            <w:r>
              <w:rPr>
                <w:rFonts w:ascii="Arial" w:cs="Arial" w:eastAsia="Arial" w:hAnsi="Arial"/>
                <w:sz w:val="6"/>
                <w:szCs w:val="6"/>
                <w:b w:val="1"/>
                <w:bCs w:val="1"/>
                <w:color w:val="FFFFFF"/>
              </w:rPr>
              <w:t>​</w:t>
            </w:r>
          </w:p>
        </w:tc>
        <w:tc>
          <w:tcPr>
            <w:tcW w:w="1440" w:type="dxa"/>
            <w:vAlign w:val="bottom"/>
            <w:vMerge w:val="continue"/>
            <w:shd w:val="clear" w:color="auto" w:fill="395796"/>
          </w:tcPr>
          <w:p>
            <w:pPr>
              <w:spacing w:after="0"/>
              <w:rPr>
                <w:sz w:val="4"/>
                <w:szCs w:val="4"/>
                <w:color w:val="auto"/>
              </w:rPr>
            </w:pPr>
          </w:p>
        </w:tc>
        <w:tc>
          <w:tcPr>
            <w:tcW w:w="960" w:type="dxa"/>
            <w:vAlign w:val="bottom"/>
            <w:shd w:val="clear" w:color="auto" w:fill="395796"/>
          </w:tcPr>
          <w:p>
            <w:pPr>
              <w:spacing w:after="0"/>
              <w:rPr>
                <w:sz w:val="4"/>
                <w:szCs w:val="4"/>
                <w:color w:val="auto"/>
              </w:rPr>
            </w:pPr>
          </w:p>
        </w:tc>
        <w:tc>
          <w:tcPr>
            <w:tcW w:w="220" w:type="dxa"/>
            <w:vAlign w:val="bottom"/>
            <w:vMerge w:val="continue"/>
            <w:shd w:val="clear" w:color="auto" w:fill="395796"/>
          </w:tcPr>
          <w:p>
            <w:pPr>
              <w:spacing w:after="0"/>
              <w:rPr>
                <w:sz w:val="4"/>
                <w:szCs w:val="4"/>
                <w:color w:val="auto"/>
              </w:rPr>
            </w:pPr>
          </w:p>
        </w:tc>
        <w:tc>
          <w:tcPr>
            <w:tcW w:w="940" w:type="dxa"/>
            <w:vAlign w:val="bottom"/>
            <w:shd w:val="clear" w:color="auto" w:fill="395796"/>
          </w:tcPr>
          <w:p>
            <w:pPr>
              <w:spacing w:after="0"/>
              <w:rPr>
                <w:sz w:val="4"/>
                <w:szCs w:val="4"/>
                <w:color w:val="auto"/>
              </w:rPr>
            </w:pPr>
          </w:p>
        </w:tc>
        <w:tc>
          <w:tcPr>
            <w:tcW w:w="180" w:type="dxa"/>
            <w:vAlign w:val="bottom"/>
            <w:vMerge w:val="continue"/>
            <w:shd w:val="clear" w:color="auto" w:fill="395796"/>
          </w:tcPr>
          <w:p>
            <w:pPr>
              <w:spacing w:after="0"/>
              <w:rPr>
                <w:sz w:val="4"/>
                <w:szCs w:val="4"/>
                <w:color w:val="auto"/>
              </w:rPr>
            </w:pPr>
          </w:p>
        </w:tc>
        <w:tc>
          <w:tcPr>
            <w:tcW w:w="960" w:type="dxa"/>
            <w:vAlign w:val="bottom"/>
            <w:shd w:val="clear" w:color="auto" w:fill="395796"/>
          </w:tcPr>
          <w:p>
            <w:pPr>
              <w:spacing w:after="0"/>
              <w:rPr>
                <w:sz w:val="4"/>
                <w:szCs w:val="4"/>
                <w:color w:val="auto"/>
              </w:rPr>
            </w:pPr>
          </w:p>
        </w:tc>
        <w:tc>
          <w:tcPr>
            <w:tcW w:w="220" w:type="dxa"/>
            <w:vAlign w:val="bottom"/>
            <w:vMerge w:val="continue"/>
            <w:shd w:val="clear" w:color="auto" w:fill="395796"/>
          </w:tcPr>
          <w:p>
            <w:pPr>
              <w:spacing w:after="0"/>
              <w:rPr>
                <w:sz w:val="4"/>
                <w:szCs w:val="4"/>
                <w:color w:val="auto"/>
              </w:rPr>
            </w:pPr>
          </w:p>
        </w:tc>
        <w:tc>
          <w:tcPr>
            <w:tcW w:w="920" w:type="dxa"/>
            <w:vAlign w:val="bottom"/>
            <w:shd w:val="clear" w:color="auto" w:fill="395796"/>
          </w:tcPr>
          <w:p>
            <w:pPr>
              <w:spacing w:after="0"/>
              <w:rPr>
                <w:sz w:val="4"/>
                <w:szCs w:val="4"/>
                <w:color w:val="auto"/>
              </w:rPr>
            </w:pPr>
          </w:p>
        </w:tc>
        <w:tc>
          <w:tcPr>
            <w:tcW w:w="200" w:type="dxa"/>
            <w:vAlign w:val="bottom"/>
            <w:vMerge w:val="continue"/>
            <w:shd w:val="clear" w:color="auto" w:fill="395796"/>
          </w:tcPr>
          <w:p>
            <w:pPr>
              <w:spacing w:after="0"/>
              <w:rPr>
                <w:sz w:val="4"/>
                <w:szCs w:val="4"/>
                <w:color w:val="auto"/>
              </w:rPr>
            </w:pPr>
          </w:p>
        </w:tc>
        <w:tc>
          <w:tcPr>
            <w:tcW w:w="780" w:type="dxa"/>
            <w:vAlign w:val="bottom"/>
            <w:shd w:val="clear" w:color="auto" w:fill="395796"/>
          </w:tcPr>
          <w:p>
            <w:pPr>
              <w:spacing w:after="0"/>
              <w:rPr>
                <w:sz w:val="4"/>
                <w:szCs w:val="4"/>
                <w:color w:val="auto"/>
              </w:rPr>
            </w:pPr>
          </w:p>
        </w:tc>
        <w:tc>
          <w:tcPr>
            <w:tcW w:w="220" w:type="dxa"/>
            <w:vAlign w:val="bottom"/>
            <w:vMerge w:val="continue"/>
            <w:shd w:val="clear" w:color="auto" w:fill="395796"/>
          </w:tcPr>
          <w:p>
            <w:pPr>
              <w:spacing w:after="0"/>
              <w:rPr>
                <w:sz w:val="4"/>
                <w:szCs w:val="4"/>
                <w:color w:val="auto"/>
              </w:rPr>
            </w:pPr>
          </w:p>
        </w:tc>
        <w:tc>
          <w:tcPr>
            <w:tcW w:w="600" w:type="dxa"/>
            <w:vAlign w:val="bottom"/>
            <w:tcBorders>
              <w:right w:val="single" w:sz="8" w:color="395796"/>
            </w:tcBorders>
            <w:shd w:val="clear" w:color="auto" w:fill="395796"/>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660" w:type="dxa"/>
            <w:vAlign w:val="bottom"/>
          </w:tcPr>
          <w:p>
            <w:pPr>
              <w:ind w:left="4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(a)</w:t>
            </w:r>
          </w:p>
        </w:tc>
        <w:tc>
          <w:tcPr>
            <w:tcW w:w="1440" w:type="dxa"/>
            <w:vAlign w:val="bottom"/>
          </w:tcPr>
          <w:p>
            <w:pPr>
              <w:ind w:left="1280"/>
              <w:spacing w:after="0"/>
              <w:rPr>
                <w:sz w:val="20"/>
                <w:szCs w:val="20"/>
                <w:color w:val="auto"/>
              </w:rPr>
            </w:pPr>
            <w:r>
              <w:rPr>
                <w:rFonts w:ascii="Arial" w:cs="Arial" w:eastAsia="Arial" w:hAnsi="Arial"/>
                <w:sz w:val="14"/>
                <w:szCs w:val="14"/>
                <w:b w:val="1"/>
                <w:bCs w:val="1"/>
                <w:color w:val="auto"/>
              </w:rPr>
              <w:t>​ ​</w:t>
            </w:r>
          </w:p>
        </w:tc>
        <w:tc>
          <w:tcPr>
            <w:tcW w:w="960" w:type="dxa"/>
            <w:vAlign w:val="bottom"/>
          </w:tcPr>
          <w:p>
            <w:pPr>
              <w:ind w:left="360"/>
              <w:spacing w:after="0"/>
              <w:rPr>
                <w:sz w:val="20"/>
                <w:szCs w:val="20"/>
                <w:color w:val="auto"/>
              </w:rPr>
            </w:pPr>
            <w:r>
              <w:rPr>
                <w:rFonts w:ascii="Arial" w:cs="Arial" w:eastAsia="Arial" w:hAnsi="Arial"/>
                <w:sz w:val="14"/>
                <w:szCs w:val="14"/>
                <w:b w:val="1"/>
                <w:bCs w:val="1"/>
                <w:color w:val="auto"/>
              </w:rPr>
              <w:t>(b)</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(c)</w:t>
            </w: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960" w:type="dxa"/>
            <w:vAlign w:val="bottom"/>
          </w:tcPr>
          <w:p>
            <w:pPr>
              <w:jc w:val="right"/>
              <w:ind w:right="348"/>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auto"/>
              </w:rPr>
              <w:t>(e)</w:t>
            </w: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 ​</w:t>
            </w: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(f)</w:t>
            </w:r>
          </w:p>
        </w:tc>
        <w:tc>
          <w:tcPr>
            <w:tcW w:w="820" w:type="dxa"/>
            <w:vAlign w:val="bottom"/>
            <w:gridSpan w:val="2"/>
          </w:tcPr>
          <w:p>
            <w:pPr>
              <w:jc w:val="right"/>
              <w:ind w:right="188"/>
              <w:spacing w:after="0" w:line="230"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color w:val="auto"/>
              </w:rPr>
              <w:t xml:space="preserve">   (h)</w:t>
            </w: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3"/>
        </w:trPr>
        <w:tc>
          <w:tcPr>
            <w:tcW w:w="166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2025</w:t>
            </w:r>
          </w:p>
        </w:tc>
        <w:tc>
          <w:tcPr>
            <w:tcW w:w="1440" w:type="dxa"/>
            <w:vAlign w:val="bottom"/>
            <w:vMerge w:val="restart"/>
            <w:shd w:val="clear" w:color="auto" w:fill="D8D8D8"/>
          </w:tcPr>
          <w:p>
            <w:pPr>
              <w:ind w:left="1320"/>
              <w:spacing w:after="0"/>
              <w:rPr>
                <w:sz w:val="20"/>
                <w:szCs w:val="20"/>
                <w:color w:val="auto"/>
              </w:rPr>
            </w:pPr>
            <w:r>
              <w:rPr>
                <w:rFonts w:ascii="Arial" w:cs="Arial" w:eastAsia="Arial" w:hAnsi="Arial"/>
                <w:sz w:val="14"/>
                <w:szCs w:val="14"/>
                <w:color w:val="auto"/>
              </w:rPr>
              <w:t>​ ​</w:t>
            </w:r>
          </w:p>
        </w:tc>
        <w:tc>
          <w:tcPr>
            <w:tcW w:w="960" w:type="dxa"/>
            <w:vAlign w:val="bottom"/>
            <w:shd w:val="clear" w:color="auto" w:fill="D8D8D8"/>
          </w:tcPr>
          <w:p>
            <w:pPr>
              <w:ind w:left="300"/>
              <w:spacing w:after="0"/>
              <w:rPr>
                <w:sz w:val="20"/>
                <w:szCs w:val="20"/>
                <w:color w:val="auto"/>
              </w:rPr>
            </w:pPr>
            <w:r>
              <w:rPr>
                <w:rFonts w:ascii="Arial" w:cs="Arial" w:eastAsia="Arial" w:hAnsi="Arial"/>
                <w:sz w:val="14"/>
                <w:szCs w:val="14"/>
                <w:color w:val="auto"/>
              </w:rPr>
              <w:t>1,461,335</w:t>
            </w:r>
          </w:p>
        </w:tc>
        <w:tc>
          <w:tcPr>
            <w:tcW w:w="220" w:type="dxa"/>
            <w:vAlign w:val="bottom"/>
            <w:vMerge w:val="restart"/>
            <w:shd w:val="clear" w:color="auto" w:fill="D8D8D8"/>
          </w:tcPr>
          <w:p>
            <w:pPr>
              <w:ind w:left="60"/>
              <w:spacing w:after="0"/>
              <w:rPr>
                <w:sz w:val="20"/>
                <w:szCs w:val="20"/>
                <w:color w:val="auto"/>
              </w:rPr>
            </w:pPr>
            <w:r>
              <w:rPr>
                <w:rFonts w:ascii="Arial" w:cs="Arial" w:eastAsia="Arial" w:hAnsi="Arial"/>
                <w:sz w:val="14"/>
                <w:szCs w:val="14"/>
                <w:color w:val="auto"/>
              </w:rPr>
              <w:t>​ ​</w:t>
            </w:r>
          </w:p>
        </w:tc>
        <w:tc>
          <w:tcPr>
            <w:tcW w:w="9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1,457,559</w:t>
            </w:r>
            <w:r>
              <w:rPr>
                <w:rFonts w:ascii="Arial" w:cs="Arial" w:eastAsia="Arial" w:hAnsi="Arial"/>
                <w:sz w:val="17"/>
                <w:szCs w:val="17"/>
                <w:color w:val="auto"/>
                <w:vertAlign w:val="superscript"/>
              </w:rPr>
              <w:t>(2)</w:t>
            </w:r>
          </w:p>
        </w:tc>
        <w:tc>
          <w:tcPr>
            <w:tcW w:w="180" w:type="dxa"/>
            <w:vAlign w:val="bottom"/>
            <w:vMerge w:val="restart"/>
            <w:shd w:val="clear" w:color="auto" w:fill="D8D8D8"/>
          </w:tcPr>
          <w:p>
            <w:pPr>
              <w:ind w:left="60"/>
              <w:spacing w:after="0"/>
              <w:rPr>
                <w:sz w:val="20"/>
                <w:szCs w:val="20"/>
                <w:color w:val="auto"/>
              </w:rPr>
            </w:pPr>
            <w:r>
              <w:rPr>
                <w:rFonts w:ascii="Arial" w:cs="Arial" w:eastAsia="Arial" w:hAnsi="Arial"/>
                <w:sz w:val="14"/>
                <w:szCs w:val="14"/>
                <w:color w:val="auto"/>
              </w:rPr>
              <w:t>​ ​</w:t>
            </w:r>
          </w:p>
        </w:tc>
        <w:tc>
          <w:tcPr>
            <w:tcW w:w="9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636,047</w:t>
            </w:r>
          </w:p>
        </w:tc>
        <w:tc>
          <w:tcPr>
            <w:tcW w:w="220" w:type="dxa"/>
            <w:vAlign w:val="bottom"/>
            <w:vMerge w:val="restart"/>
            <w:shd w:val="clear" w:color="auto" w:fill="D8D8D8"/>
          </w:tcPr>
          <w:p>
            <w:pPr>
              <w:ind w:left="60"/>
              <w:spacing w:after="0"/>
              <w:rPr>
                <w:sz w:val="20"/>
                <w:szCs w:val="20"/>
                <w:color w:val="auto"/>
              </w:rPr>
            </w:pPr>
            <w:r>
              <w:rPr>
                <w:rFonts w:ascii="Arial" w:cs="Arial" w:eastAsia="Arial" w:hAnsi="Arial"/>
                <w:sz w:val="14"/>
                <w:szCs w:val="14"/>
                <w:color w:val="auto"/>
              </w:rPr>
              <w:t>​ ​</w:t>
            </w: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633,175</w:t>
            </w:r>
            <w:r>
              <w:rPr>
                <w:rFonts w:ascii="Arial" w:cs="Arial" w:eastAsia="Arial" w:hAnsi="Arial"/>
                <w:sz w:val="17"/>
                <w:szCs w:val="17"/>
                <w:color w:val="auto"/>
                <w:vertAlign w:val="superscript"/>
              </w:rPr>
              <w:t>(2)</w:t>
            </w:r>
          </w:p>
        </w:tc>
        <w:tc>
          <w:tcPr>
            <w:tcW w:w="200" w:type="dxa"/>
            <w:vAlign w:val="bottom"/>
            <w:vMerge w:val="restart"/>
            <w:shd w:val="clear" w:color="auto" w:fill="D8D8D8"/>
          </w:tcPr>
          <w:p>
            <w:pPr>
              <w:ind w:left="60"/>
              <w:spacing w:after="0"/>
              <w:rPr>
                <w:sz w:val="20"/>
                <w:szCs w:val="20"/>
                <w:color w:val="auto"/>
              </w:rPr>
            </w:pPr>
            <w:r>
              <w:rPr>
                <w:rFonts w:ascii="Arial" w:cs="Arial" w:eastAsia="Arial" w:hAnsi="Arial"/>
                <w:sz w:val="14"/>
                <w:szCs w:val="14"/>
                <w:color w:val="auto"/>
              </w:rPr>
              <w:t>​ ​</w:t>
            </w:r>
          </w:p>
        </w:tc>
        <w:tc>
          <w:tcPr>
            <w:tcW w:w="7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68.20</w:t>
            </w:r>
          </w:p>
        </w:tc>
        <w:tc>
          <w:tcPr>
            <w:tcW w:w="220" w:type="dxa"/>
            <w:vAlign w:val="bottom"/>
            <w:vMerge w:val="restart"/>
            <w:shd w:val="clear" w:color="auto" w:fill="D8D8D8"/>
          </w:tcPr>
          <w:p>
            <w:pPr>
              <w:ind w:left="80"/>
              <w:spacing w:after="0"/>
              <w:rPr>
                <w:sz w:val="20"/>
                <w:szCs w:val="20"/>
                <w:color w:val="auto"/>
              </w:rPr>
            </w:pPr>
            <w:r>
              <w:rPr>
                <w:rFonts w:ascii="Arial" w:cs="Arial" w:eastAsia="Arial" w:hAnsi="Arial"/>
                <w:sz w:val="14"/>
                <w:szCs w:val="14"/>
                <w:color w:val="auto"/>
              </w:rPr>
              <w:t>​ ​</w:t>
            </w:r>
          </w:p>
        </w:tc>
        <w:tc>
          <w:tcPr>
            <w:tcW w:w="60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(7,383)</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660" w:type="dxa"/>
            <w:vAlign w:val="bottom"/>
            <w:shd w:val="clear" w:color="auto" w:fill="D8D8D8"/>
          </w:tcPr>
          <w:p>
            <w:pPr>
              <w:ind w:left="60"/>
              <w:spacing w:after="0" w:line="54" w:lineRule="exact"/>
              <w:rPr>
                <w:sz w:val="20"/>
                <w:szCs w:val="20"/>
                <w:color w:val="auto"/>
              </w:rPr>
            </w:pPr>
            <w:r>
              <w:rPr>
                <w:rFonts w:ascii="Arial" w:cs="Arial" w:eastAsia="Arial" w:hAnsi="Arial"/>
                <w:sz w:val="6"/>
                <w:szCs w:val="6"/>
                <w:color w:val="auto"/>
              </w:rPr>
              <w:t>​</w:t>
            </w:r>
          </w:p>
        </w:tc>
        <w:tc>
          <w:tcPr>
            <w:tcW w:w="1440" w:type="dxa"/>
            <w:vAlign w:val="bottom"/>
            <w:vMerge w:val="continue"/>
            <w:shd w:val="clear" w:color="auto" w:fill="D8D8D8"/>
          </w:tcPr>
          <w:p>
            <w:pPr>
              <w:spacing w:after="0"/>
              <w:rPr>
                <w:sz w:val="4"/>
                <w:szCs w:val="4"/>
                <w:color w:val="auto"/>
              </w:rPr>
            </w:pPr>
          </w:p>
        </w:tc>
        <w:tc>
          <w:tcPr>
            <w:tcW w:w="960" w:type="dxa"/>
            <w:vAlign w:val="bottom"/>
            <w:shd w:val="clear" w:color="auto" w:fill="D8D8D8"/>
          </w:tcPr>
          <w:p>
            <w:pPr>
              <w:spacing w:after="0"/>
              <w:rPr>
                <w:sz w:val="4"/>
                <w:szCs w:val="4"/>
                <w:color w:val="auto"/>
              </w:rPr>
            </w:pPr>
          </w:p>
        </w:tc>
        <w:tc>
          <w:tcPr>
            <w:tcW w:w="220" w:type="dxa"/>
            <w:vAlign w:val="bottom"/>
            <w:vMerge w:val="continue"/>
            <w:shd w:val="clear" w:color="auto" w:fill="D8D8D8"/>
          </w:tcPr>
          <w:p>
            <w:pPr>
              <w:spacing w:after="0"/>
              <w:rPr>
                <w:sz w:val="4"/>
                <w:szCs w:val="4"/>
                <w:color w:val="auto"/>
              </w:rPr>
            </w:pPr>
          </w:p>
        </w:tc>
        <w:tc>
          <w:tcPr>
            <w:tcW w:w="940" w:type="dxa"/>
            <w:vAlign w:val="bottom"/>
            <w:shd w:val="clear" w:color="auto" w:fill="D8D8D8"/>
          </w:tcPr>
          <w:p>
            <w:pPr>
              <w:spacing w:after="0"/>
              <w:rPr>
                <w:sz w:val="4"/>
                <w:szCs w:val="4"/>
                <w:color w:val="auto"/>
              </w:rPr>
            </w:pPr>
          </w:p>
        </w:tc>
        <w:tc>
          <w:tcPr>
            <w:tcW w:w="180" w:type="dxa"/>
            <w:vAlign w:val="bottom"/>
            <w:vMerge w:val="continue"/>
            <w:shd w:val="clear" w:color="auto" w:fill="D8D8D8"/>
          </w:tcPr>
          <w:p>
            <w:pPr>
              <w:spacing w:after="0"/>
              <w:rPr>
                <w:sz w:val="4"/>
                <w:szCs w:val="4"/>
                <w:color w:val="auto"/>
              </w:rPr>
            </w:pPr>
          </w:p>
        </w:tc>
        <w:tc>
          <w:tcPr>
            <w:tcW w:w="960" w:type="dxa"/>
            <w:vAlign w:val="bottom"/>
            <w:shd w:val="clear" w:color="auto" w:fill="D8D8D8"/>
          </w:tcPr>
          <w:p>
            <w:pPr>
              <w:spacing w:after="0"/>
              <w:rPr>
                <w:sz w:val="4"/>
                <w:szCs w:val="4"/>
                <w:color w:val="auto"/>
              </w:rPr>
            </w:pPr>
          </w:p>
        </w:tc>
        <w:tc>
          <w:tcPr>
            <w:tcW w:w="220" w:type="dxa"/>
            <w:vAlign w:val="bottom"/>
            <w:vMerge w:val="continue"/>
            <w:shd w:val="clear" w:color="auto" w:fill="D8D8D8"/>
          </w:tcPr>
          <w:p>
            <w:pPr>
              <w:spacing w:after="0"/>
              <w:rPr>
                <w:sz w:val="4"/>
                <w:szCs w:val="4"/>
                <w:color w:val="auto"/>
              </w:rPr>
            </w:pPr>
          </w:p>
        </w:tc>
        <w:tc>
          <w:tcPr>
            <w:tcW w:w="920" w:type="dxa"/>
            <w:vAlign w:val="bottom"/>
            <w:shd w:val="clear" w:color="auto" w:fill="D8D8D8"/>
          </w:tcPr>
          <w:p>
            <w:pPr>
              <w:spacing w:after="0"/>
              <w:rPr>
                <w:sz w:val="4"/>
                <w:szCs w:val="4"/>
                <w:color w:val="auto"/>
              </w:rPr>
            </w:pPr>
          </w:p>
        </w:tc>
        <w:tc>
          <w:tcPr>
            <w:tcW w:w="200" w:type="dxa"/>
            <w:vAlign w:val="bottom"/>
            <w:vMerge w:val="continue"/>
            <w:shd w:val="clear" w:color="auto" w:fill="D8D8D8"/>
          </w:tcPr>
          <w:p>
            <w:pPr>
              <w:spacing w:after="0"/>
              <w:rPr>
                <w:sz w:val="4"/>
                <w:szCs w:val="4"/>
                <w:color w:val="auto"/>
              </w:rPr>
            </w:pPr>
          </w:p>
        </w:tc>
        <w:tc>
          <w:tcPr>
            <w:tcW w:w="780" w:type="dxa"/>
            <w:vAlign w:val="bottom"/>
            <w:shd w:val="clear" w:color="auto" w:fill="D8D8D8"/>
          </w:tcPr>
          <w:p>
            <w:pPr>
              <w:spacing w:after="0"/>
              <w:rPr>
                <w:sz w:val="4"/>
                <w:szCs w:val="4"/>
                <w:color w:val="auto"/>
              </w:rPr>
            </w:pPr>
          </w:p>
        </w:tc>
        <w:tc>
          <w:tcPr>
            <w:tcW w:w="220" w:type="dxa"/>
            <w:vAlign w:val="bottom"/>
            <w:vMerge w:val="continue"/>
            <w:shd w:val="clear" w:color="auto" w:fill="D8D8D8"/>
          </w:tcPr>
          <w:p>
            <w:pPr>
              <w:spacing w:after="0"/>
              <w:rPr>
                <w:sz w:val="4"/>
                <w:szCs w:val="4"/>
                <w:color w:val="auto"/>
              </w:rPr>
            </w:pPr>
          </w:p>
        </w:tc>
        <w:tc>
          <w:tcPr>
            <w:tcW w:w="600" w:type="dxa"/>
            <w:vAlign w:val="bottom"/>
            <w:tcBorders>
              <w:right w:val="single" w:sz="8" w:color="D8D8D8"/>
            </w:tcBorders>
            <w:shd w:val="clear" w:color="auto" w:fill="D8D8D8"/>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60" w:type="dxa"/>
            <w:vAlign w:val="bottom"/>
          </w:tcPr>
          <w:p>
            <w:pPr>
              <w:ind w:left="60"/>
              <w:spacing w:after="0"/>
              <w:rPr>
                <w:sz w:val="20"/>
                <w:szCs w:val="20"/>
                <w:color w:val="auto"/>
              </w:rPr>
            </w:pPr>
            <w:r>
              <w:rPr>
                <w:rFonts w:ascii="Arial" w:cs="Arial" w:eastAsia="Arial" w:hAnsi="Arial"/>
                <w:sz w:val="14"/>
                <w:szCs w:val="14"/>
                <w:color w:val="auto"/>
              </w:rPr>
              <w:t>2024</w:t>
            </w:r>
          </w:p>
        </w:tc>
        <w:tc>
          <w:tcPr>
            <w:tcW w:w="1440" w:type="dxa"/>
            <w:vAlign w:val="bottom"/>
            <w:vMerge w:val="restart"/>
          </w:tcPr>
          <w:p>
            <w:pPr>
              <w:ind w:left="1320"/>
              <w:spacing w:after="0"/>
              <w:rPr>
                <w:sz w:val="20"/>
                <w:szCs w:val="20"/>
                <w:color w:val="auto"/>
              </w:rPr>
            </w:pPr>
            <w:r>
              <w:rPr>
                <w:rFonts w:ascii="Arial" w:cs="Arial" w:eastAsia="Arial" w:hAnsi="Arial"/>
                <w:sz w:val="14"/>
                <w:szCs w:val="14"/>
                <w:color w:val="auto"/>
              </w:rPr>
              <w:t>​ ​</w:t>
            </w:r>
          </w:p>
        </w:tc>
        <w:tc>
          <w:tcPr>
            <w:tcW w:w="960" w:type="dxa"/>
            <w:vAlign w:val="bottom"/>
          </w:tcPr>
          <w:p>
            <w:pPr>
              <w:ind w:left="300"/>
              <w:spacing w:after="0"/>
              <w:rPr>
                <w:sz w:val="20"/>
                <w:szCs w:val="20"/>
                <w:color w:val="auto"/>
              </w:rPr>
            </w:pPr>
            <w:r>
              <w:rPr>
                <w:rFonts w:ascii="Arial" w:cs="Arial" w:eastAsia="Arial" w:hAnsi="Arial"/>
                <w:sz w:val="14"/>
                <w:szCs w:val="14"/>
                <w:color w:val="auto"/>
              </w:rPr>
              <w:t>1,199,350</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940" w:type="dxa"/>
            <w:vAlign w:val="bottom"/>
          </w:tcPr>
          <w:p>
            <w:pPr>
              <w:jc w:val="right"/>
              <w:spacing w:after="0"/>
              <w:rPr>
                <w:sz w:val="20"/>
                <w:szCs w:val="20"/>
                <w:color w:val="auto"/>
              </w:rPr>
            </w:pPr>
            <w:r>
              <w:rPr>
                <w:rFonts w:ascii="Arial" w:cs="Arial" w:eastAsia="Arial" w:hAnsi="Arial"/>
                <w:sz w:val="14"/>
                <w:szCs w:val="14"/>
                <w:color w:val="auto"/>
              </w:rPr>
              <w:t>1,203,610</w:t>
            </w:r>
            <w:r>
              <w:rPr>
                <w:rFonts w:ascii="Arial" w:cs="Arial" w:eastAsia="Arial" w:hAnsi="Arial"/>
                <w:sz w:val="17"/>
                <w:szCs w:val="17"/>
                <w:color w:val="auto"/>
                <w:vertAlign w:val="superscript"/>
              </w:rPr>
              <w:t>(3)</w:t>
            </w:r>
          </w:p>
        </w:tc>
        <w:tc>
          <w:tcPr>
            <w:tcW w:w="18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557,641</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920" w:type="dxa"/>
            <w:vAlign w:val="bottom"/>
          </w:tcPr>
          <w:p>
            <w:pPr>
              <w:jc w:val="right"/>
              <w:spacing w:after="0"/>
              <w:rPr>
                <w:sz w:val="20"/>
                <w:szCs w:val="20"/>
                <w:color w:val="auto"/>
              </w:rPr>
            </w:pPr>
            <w:r>
              <w:rPr>
                <w:rFonts w:ascii="Arial" w:cs="Arial" w:eastAsia="Arial" w:hAnsi="Arial"/>
                <w:sz w:val="14"/>
                <w:szCs w:val="14"/>
                <w:color w:val="auto"/>
              </w:rPr>
              <w:t>527,038</w:t>
            </w:r>
            <w:r>
              <w:rPr>
                <w:rFonts w:ascii="Arial" w:cs="Arial" w:eastAsia="Arial" w:hAnsi="Arial"/>
                <w:sz w:val="17"/>
                <w:szCs w:val="17"/>
                <w:color w:val="auto"/>
                <w:vertAlign w:val="superscript"/>
              </w:rPr>
              <w:t>(3)</w:t>
            </w:r>
          </w:p>
        </w:tc>
        <w:tc>
          <w:tcPr>
            <w:tcW w:w="2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780" w:type="dxa"/>
            <w:vAlign w:val="bottom"/>
          </w:tcPr>
          <w:p>
            <w:pPr>
              <w:jc w:val="right"/>
              <w:spacing w:after="0"/>
              <w:rPr>
                <w:sz w:val="20"/>
                <w:szCs w:val="20"/>
                <w:color w:val="auto"/>
              </w:rPr>
            </w:pPr>
            <w:r>
              <w:rPr>
                <w:rFonts w:ascii="Arial" w:cs="Arial" w:eastAsia="Arial" w:hAnsi="Arial"/>
                <w:sz w:val="14"/>
                <w:szCs w:val="14"/>
                <w:color w:val="auto"/>
              </w:rPr>
              <w:t>62.02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$(11,048)</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6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144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ind w:left="80"/>
              <w:spacing w:after="0" w:line="54" w:lineRule="exact"/>
              <w:rPr>
                <w:sz w:val="20"/>
                <w:szCs w:val="20"/>
                <w:color w:val="auto"/>
              </w:rPr>
            </w:pPr>
            <w:r>
              <w:rPr>
                <w:rFonts w:ascii="Arial" w:cs="Arial" w:eastAsia="Arial" w:hAnsi="Arial"/>
                <w:sz w:val="6"/>
                <w:szCs w:val="6"/>
                <w:color w:val="auto"/>
              </w:rPr>
              <w:t>​ ​</w:t>
            </w:r>
          </w:p>
        </w:tc>
        <w:tc>
          <w:tcPr>
            <w:tcW w:w="6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6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4"/>
                <w:szCs w:val="14"/>
                <w:color w:val="auto"/>
              </w:rPr>
              <w:t>​2023</w:t>
            </w:r>
          </w:p>
        </w:tc>
        <w:tc>
          <w:tcPr>
            <w:tcW w:w="1440" w:type="dxa"/>
            <w:vAlign w:val="bottom"/>
            <w:tcBorders>
              <w:bottom w:val="single" w:sz="8" w:color="auto"/>
            </w:tcBorders>
            <w:shd w:val="clear" w:color="auto" w:fill="D8D8D8"/>
          </w:tcPr>
          <w:p>
            <w:pPr>
              <w:ind w:left="1320"/>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shd w:val="clear" w:color="auto" w:fill="D8D8D8"/>
          </w:tcPr>
          <w:p>
            <w:pPr>
              <w:ind w:left="300"/>
              <w:spacing w:after="0"/>
              <w:rPr>
                <w:sz w:val="20"/>
                <w:szCs w:val="20"/>
                <w:color w:val="auto"/>
              </w:rPr>
            </w:pPr>
            <w:r>
              <w:rPr>
                <w:rFonts w:ascii="Arial" w:cs="Arial" w:eastAsia="Arial" w:hAnsi="Arial"/>
                <w:sz w:val="14"/>
                <w:szCs w:val="14"/>
                <w:color w:val="auto"/>
              </w:rPr>
              <w:t>1,472,301</w:t>
            </w:r>
          </w:p>
        </w:tc>
        <w:tc>
          <w:tcPr>
            <w:tcW w:w="22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4"/>
                <w:szCs w:val="14"/>
                <w:color w:val="auto"/>
              </w:rPr>
              <w:t>​ ​</w:t>
            </w:r>
          </w:p>
        </w:tc>
        <w:tc>
          <w:tcPr>
            <w:tcW w:w="9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952,348</w:t>
            </w:r>
            <w:r>
              <w:rPr>
                <w:rFonts w:ascii="Arial" w:cs="Arial" w:eastAsia="Arial" w:hAnsi="Arial"/>
                <w:sz w:val="17"/>
                <w:szCs w:val="17"/>
                <w:color w:val="auto"/>
                <w:vertAlign w:val="superscript"/>
              </w:rPr>
              <w:t>(4)</w:t>
            </w:r>
          </w:p>
        </w:tc>
        <w:tc>
          <w:tcPr>
            <w:tcW w:w="18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657,352</w:t>
            </w:r>
          </w:p>
        </w:tc>
        <w:tc>
          <w:tcPr>
            <w:tcW w:w="22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4"/>
                <w:szCs w:val="14"/>
                <w:color w:val="auto"/>
              </w:rPr>
              <w:t>​ ​</w:t>
            </w:r>
          </w:p>
        </w:tc>
        <w:tc>
          <w:tcPr>
            <w:tcW w:w="9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344,596</w:t>
            </w:r>
            <w:r>
              <w:rPr>
                <w:rFonts w:ascii="Arial" w:cs="Arial" w:eastAsia="Arial" w:hAnsi="Arial"/>
                <w:sz w:val="17"/>
                <w:szCs w:val="17"/>
                <w:color w:val="auto"/>
                <w:vertAlign w:val="superscript"/>
              </w:rPr>
              <w:t>(4)</w:t>
            </w:r>
          </w:p>
        </w:tc>
        <w:tc>
          <w:tcPr>
            <w:tcW w:w="200" w:type="dxa"/>
            <w:vAlign w:val="bottom"/>
            <w:tcBorders>
              <w:bottom w:val="single" w:sz="8" w:color="auto"/>
            </w:tcBorders>
            <w:shd w:val="clear" w:color="auto" w:fill="D8D8D8"/>
          </w:tcPr>
          <w:p>
            <w:pPr>
              <w:ind w:left="60"/>
              <w:spacing w:after="0"/>
              <w:rPr>
                <w:sz w:val="20"/>
                <w:szCs w:val="20"/>
                <w:color w:val="auto"/>
              </w:rPr>
            </w:pPr>
            <w:r>
              <w:rPr>
                <w:rFonts w:ascii="Arial" w:cs="Arial" w:eastAsia="Arial" w:hAnsi="Arial"/>
                <w:sz w:val="14"/>
                <w:szCs w:val="14"/>
                <w:color w:val="auto"/>
              </w:rPr>
              <w:t>​ ​</w:t>
            </w:r>
          </w:p>
        </w:tc>
        <w:tc>
          <w:tcPr>
            <w:tcW w:w="7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$46.34</w:t>
            </w:r>
          </w:p>
        </w:tc>
        <w:tc>
          <w:tcPr>
            <w:tcW w:w="820" w:type="dxa"/>
            <w:vAlign w:val="bottom"/>
            <w:tcBorders>
              <w:bottom w:val="single" w:sz="8" w:color="auto"/>
              <w:right w:val="single" w:sz="8" w:color="D8D8D8"/>
            </w:tcBorders>
            <w:gridSpan w:val="2"/>
            <w:shd w:val="clear" w:color="auto" w:fill="D8D8D8"/>
          </w:tcPr>
          <w:p>
            <w:pPr>
              <w:jc w:val="right"/>
              <w:spacing w:after="0"/>
              <w:rPr>
                <w:sz w:val="20"/>
                <w:szCs w:val="20"/>
                <w:color w:val="auto"/>
              </w:rPr>
            </w:pPr>
            <w:r>
              <w:rPr>
                <w:rFonts w:ascii="Arial" w:cs="Arial" w:eastAsia="Arial" w:hAnsi="Arial"/>
                <w:sz w:val="14"/>
                <w:szCs w:val="14"/>
                <w:color w:val="auto"/>
              </w:rPr>
              <w:t>​ ​$(15,422)</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1060" w:right="20" w:hanging="352"/>
        <w:spacing w:after="0" w:line="288" w:lineRule="auto"/>
        <w:tabs>
          <w:tab w:leader="none" w:pos="1060" w:val="left"/>
        </w:tabs>
        <w:numPr>
          <w:ilvl w:val="0"/>
          <w:numId w:val="23"/>
        </w:numPr>
        <w:rPr>
          <w:rFonts w:ascii="Arial" w:cs="Arial" w:eastAsia="Arial" w:hAnsi="Arial"/>
          <w:sz w:val="14"/>
          <w:szCs w:val="14"/>
          <w:color w:val="395796"/>
        </w:rPr>
      </w:pPr>
      <w:r>
        <w:rPr>
          <w:rFonts w:ascii="Arial" w:cs="Arial" w:eastAsia="Arial" w:hAnsi="Arial"/>
          <w:sz w:val="14"/>
          <w:szCs w:val="14"/>
          <w:color w:val="auto"/>
        </w:rPr>
        <w:t>Represents the cumulative total shareholder return (on a dividends-reinvested basis) on our common stock from December 31, 2022, the last trading day before the earliest year presented in the table, to the last trading day of the relevant year, calculated on the basis of an investment of $100 in our common stock on December 31, 2022.</w:t>
      </w:r>
    </w:p>
    <w:p>
      <w:pPr>
        <w:jc w:val="both"/>
        <w:ind w:left="1060" w:right="20" w:hanging="352"/>
        <w:spacing w:after="0" w:line="282" w:lineRule="auto"/>
        <w:tabs>
          <w:tab w:leader="none" w:pos="1060" w:val="left"/>
        </w:tabs>
        <w:numPr>
          <w:ilvl w:val="0"/>
          <w:numId w:val="23"/>
        </w:numPr>
        <w:rPr>
          <w:rFonts w:ascii="Arial" w:cs="Arial" w:eastAsia="Arial" w:hAnsi="Arial"/>
          <w:sz w:val="14"/>
          <w:szCs w:val="14"/>
          <w:color w:val="395796"/>
        </w:rPr>
      </w:pPr>
      <w:r>
        <w:rPr>
          <w:rFonts w:ascii="Arial" w:cs="Arial" w:eastAsia="Arial" w:hAnsi="Arial"/>
          <w:sz w:val="14"/>
          <w:szCs w:val="14"/>
          <w:color w:val="auto"/>
        </w:rPr>
        <w:t>Represents compensation actually paid for 2025 to Brent C. Bruun, our chief executive officer during 2025, and the average compensation actually paid for 2025 to Felise B. Feingold and Anthony Pike, our other named executive officers for 2025. The following table provides the adjustments to total compensation that were made in order to calculate compensation actually paid (excluding the grant-date fair value of equity awards granted in 2025, which is presented separately in the Summary Compensation Table):</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280"/>
        <w:spacing w:after="0"/>
        <w:rPr>
          <w:sz w:val="20"/>
          <w:szCs w:val="20"/>
          <w:color w:val="auto"/>
        </w:rPr>
      </w:pPr>
      <w:r>
        <w:rPr>
          <w:rFonts w:ascii="Arial" w:cs="Arial" w:eastAsia="Arial" w:hAnsi="Arial"/>
          <w:sz w:val="17"/>
          <w:szCs w:val="17"/>
          <w:color w:val="395796"/>
        </w:rPr>
        <w:t xml:space="preserve">KVH Industries, Inc. 2026 Proxy Statement  </w:t>
      </w:r>
      <w:r>
        <w:rPr>
          <w:rFonts w:ascii="Arial" w:cs="Arial" w:eastAsia="Arial" w:hAnsi="Arial"/>
          <w:sz w:val="17"/>
          <w:szCs w:val="17"/>
          <w:color w:val="000000"/>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395796"/>
        </w:rPr>
        <w:t>COMPENSATION OF DIRECTORS AND EXECUTIVE OFFICERS</w:t>
      </w:r>
    </w:p>
    <w:p>
      <w:pPr>
        <w:spacing w:after="0" w:line="203" w:lineRule="exact"/>
        <w:rPr>
          <w:sz w:val="20"/>
          <w:szCs w:val="20"/>
          <w:color w:val="auto"/>
        </w:rPr>
      </w:pPr>
    </w:p>
    <w:tbl>
      <w:tblPr>
        <w:tblLayout w:type="fixed"/>
        <w:tblInd w:w="1080" w:type="dxa"/>
        <w:tblCellMar>
          <w:top w:w="0" w:type="dxa"/>
          <w:left w:w="0" w:type="dxa"/>
          <w:bottom w:w="0" w:type="dxa"/>
          <w:right w:w="0" w:type="dxa"/>
        </w:tblCellMar>
      </w:tblPr>
      <w:tr>
        <w:trPr>
          <w:trHeight w:val="193"/>
        </w:trPr>
        <w:tc>
          <w:tcPr>
            <w:tcW w:w="5320" w:type="dxa"/>
            <w:vAlign w:val="bottom"/>
            <w:shd w:val="clear" w:color="auto" w:fill="395796"/>
          </w:tcPr>
          <w:p>
            <w:pPr>
              <w:spacing w:after="0"/>
              <w:rPr>
                <w:sz w:val="16"/>
                <w:szCs w:val="16"/>
                <w:color w:val="auto"/>
              </w:rPr>
            </w:pPr>
          </w:p>
        </w:tc>
        <w:tc>
          <w:tcPr>
            <w:tcW w:w="1880" w:type="dxa"/>
            <w:vAlign w:val="bottom"/>
            <w:shd w:val="clear" w:color="auto" w:fill="395796"/>
          </w:tcPr>
          <w:p>
            <w:pPr>
              <w:spacing w:after="0"/>
              <w:rPr>
                <w:sz w:val="16"/>
                <w:szCs w:val="16"/>
                <w:color w:val="auto"/>
              </w:rPr>
            </w:pPr>
          </w:p>
        </w:tc>
        <w:tc>
          <w:tcPr>
            <w:tcW w:w="100" w:type="dxa"/>
            <w:vAlign w:val="bottom"/>
            <w:shd w:val="clear" w:color="auto" w:fill="395796"/>
          </w:tcPr>
          <w:p>
            <w:pPr>
              <w:spacing w:after="0"/>
              <w:rPr>
                <w:sz w:val="16"/>
                <w:szCs w:val="16"/>
                <w:color w:val="auto"/>
              </w:rPr>
            </w:pPr>
          </w:p>
        </w:tc>
        <w:tc>
          <w:tcPr>
            <w:tcW w:w="620" w:type="dxa"/>
            <w:vAlign w:val="bottom"/>
            <w:shd w:val="clear" w:color="auto" w:fill="395796"/>
          </w:tcPr>
          <w:p>
            <w:pPr>
              <w:spacing w:after="0"/>
              <w:rPr>
                <w:sz w:val="16"/>
                <w:szCs w:val="16"/>
                <w:color w:val="auto"/>
              </w:rPr>
            </w:pPr>
          </w:p>
        </w:tc>
        <w:tc>
          <w:tcPr>
            <w:tcW w:w="140" w:type="dxa"/>
            <w:vAlign w:val="bottom"/>
            <w:shd w:val="clear" w:color="auto" w:fill="395796"/>
          </w:tcPr>
          <w:p>
            <w:pPr>
              <w:spacing w:after="0"/>
              <w:rPr>
                <w:sz w:val="16"/>
                <w:szCs w:val="16"/>
                <w:color w:val="auto"/>
              </w:rPr>
            </w:pPr>
          </w:p>
        </w:tc>
        <w:tc>
          <w:tcPr>
            <w:tcW w:w="860" w:type="dxa"/>
            <w:vAlign w:val="bottom"/>
            <w:gridSpan w:val="2"/>
            <w:shd w:val="clear" w:color="auto" w:fill="395796"/>
          </w:tcPr>
          <w:p>
            <w:pPr>
              <w:jc w:val="right"/>
              <w:ind w:right="8"/>
              <w:spacing w:after="0"/>
              <w:rPr>
                <w:sz w:val="20"/>
                <w:szCs w:val="20"/>
                <w:color w:val="auto"/>
              </w:rPr>
            </w:pPr>
            <w:r>
              <w:rPr>
                <w:rFonts w:ascii="Arial" w:cs="Arial" w:eastAsia="Arial" w:hAnsi="Arial"/>
                <w:sz w:val="14"/>
                <w:szCs w:val="14"/>
                <w:b w:val="1"/>
                <w:bCs w:val="1"/>
                <w:color w:val="FFFFFF"/>
                <w:w w:val="97"/>
              </w:rPr>
              <w:t>Average for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395796"/>
          </w:tcPr>
          <w:p>
            <w:pPr>
              <w:spacing w:after="0"/>
              <w:rPr>
                <w:sz w:val="14"/>
                <w:szCs w:val="14"/>
                <w:color w:val="auto"/>
              </w:rPr>
            </w:pPr>
          </w:p>
        </w:tc>
        <w:tc>
          <w:tcPr>
            <w:tcW w:w="1880" w:type="dxa"/>
            <w:vAlign w:val="bottom"/>
            <w:shd w:val="clear" w:color="auto" w:fill="395796"/>
          </w:tcPr>
          <w:p>
            <w:pPr>
              <w:spacing w:after="0"/>
              <w:rPr>
                <w:sz w:val="14"/>
                <w:szCs w:val="14"/>
                <w:color w:val="auto"/>
              </w:rPr>
            </w:pPr>
          </w:p>
        </w:tc>
        <w:tc>
          <w:tcPr>
            <w:tcW w:w="100" w:type="dxa"/>
            <w:vAlign w:val="bottom"/>
            <w:shd w:val="clear" w:color="auto" w:fill="395796"/>
          </w:tcPr>
          <w:p>
            <w:pPr>
              <w:spacing w:after="0"/>
              <w:rPr>
                <w:sz w:val="14"/>
                <w:szCs w:val="14"/>
                <w:color w:val="auto"/>
              </w:rPr>
            </w:pPr>
          </w:p>
        </w:tc>
        <w:tc>
          <w:tcPr>
            <w:tcW w:w="620" w:type="dxa"/>
            <w:vAlign w:val="bottom"/>
            <w:shd w:val="clear" w:color="auto" w:fill="395796"/>
          </w:tcPr>
          <w:p>
            <w:pPr>
              <w:spacing w:after="0"/>
              <w:rPr>
                <w:sz w:val="14"/>
                <w:szCs w:val="14"/>
                <w:color w:val="auto"/>
              </w:rPr>
            </w:pPr>
          </w:p>
        </w:tc>
        <w:tc>
          <w:tcPr>
            <w:tcW w:w="140" w:type="dxa"/>
            <w:vAlign w:val="bottom"/>
            <w:shd w:val="clear" w:color="auto" w:fill="395796"/>
          </w:tcPr>
          <w:p>
            <w:pPr>
              <w:spacing w:after="0"/>
              <w:rPr>
                <w:sz w:val="14"/>
                <w:szCs w:val="14"/>
                <w:color w:val="auto"/>
              </w:rPr>
            </w:pPr>
          </w:p>
        </w:tc>
        <w:tc>
          <w:tcPr>
            <w:tcW w:w="120" w:type="dxa"/>
            <w:vAlign w:val="bottom"/>
            <w:shd w:val="clear" w:color="auto" w:fill="395796"/>
          </w:tcPr>
          <w:p>
            <w:pPr>
              <w:spacing w:after="0"/>
              <w:rPr>
                <w:sz w:val="14"/>
                <w:szCs w:val="14"/>
                <w:color w:val="auto"/>
              </w:rPr>
            </w:pPr>
          </w:p>
        </w:tc>
        <w:tc>
          <w:tcPr>
            <w:tcW w:w="740" w:type="dxa"/>
            <w:vAlign w:val="bottom"/>
            <w:shd w:val="clear" w:color="auto" w:fill="395796"/>
          </w:tcPr>
          <w:p>
            <w:pPr>
              <w:jc w:val="right"/>
              <w:ind w:right="8"/>
              <w:spacing w:after="0"/>
              <w:rPr>
                <w:sz w:val="20"/>
                <w:szCs w:val="20"/>
                <w:color w:val="auto"/>
              </w:rPr>
            </w:pPr>
            <w:r>
              <w:rPr>
                <w:rFonts w:ascii="Arial" w:cs="Arial" w:eastAsia="Arial" w:hAnsi="Arial"/>
                <w:sz w:val="14"/>
                <w:szCs w:val="14"/>
                <w:b w:val="1"/>
                <w:bCs w:val="1"/>
                <w:color w:val="FFFFFF"/>
              </w:rPr>
              <w:t>non-PEO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395796"/>
          </w:tcPr>
          <w:p>
            <w:pPr>
              <w:ind w:left="40"/>
              <w:spacing w:after="0" w:line="145" w:lineRule="exact"/>
              <w:rPr>
                <w:sz w:val="20"/>
                <w:szCs w:val="20"/>
                <w:color w:val="auto"/>
              </w:rPr>
            </w:pPr>
            <w:r>
              <w:rPr>
                <w:rFonts w:ascii="Arial" w:cs="Arial" w:eastAsia="Arial" w:hAnsi="Arial"/>
                <w:sz w:val="14"/>
                <w:szCs w:val="14"/>
                <w:b w:val="1"/>
                <w:bCs w:val="1"/>
                <w:color w:val="FFFFFF"/>
              </w:rPr>
              <w:t>Change in Fair Value</w:t>
            </w:r>
          </w:p>
        </w:tc>
        <w:tc>
          <w:tcPr>
            <w:tcW w:w="1880" w:type="dxa"/>
            <w:vAlign w:val="bottom"/>
            <w:vMerge w:val="restart"/>
            <w:shd w:val="clear" w:color="auto" w:fill="395796"/>
          </w:tcPr>
          <w:p>
            <w:pPr>
              <w:ind w:left="1800"/>
              <w:spacing w:after="0"/>
              <w:rPr>
                <w:sz w:val="20"/>
                <w:szCs w:val="20"/>
                <w:color w:val="auto"/>
              </w:rPr>
            </w:pPr>
            <w:r>
              <w:rPr>
                <w:rFonts w:ascii="Arial" w:cs="Arial" w:eastAsia="Arial" w:hAnsi="Arial"/>
                <w:sz w:val="14"/>
                <w:szCs w:val="14"/>
                <w:b w:val="1"/>
                <w:bCs w:val="1"/>
                <w:color w:val="FFFFFF"/>
              </w:rPr>
              <w:t>​</w:t>
            </w:r>
          </w:p>
        </w:tc>
        <w:tc>
          <w:tcPr>
            <w:tcW w:w="720" w:type="dxa"/>
            <w:vAlign w:val="bottom"/>
            <w:gridSpan w:val="2"/>
            <w:shd w:val="clear" w:color="auto" w:fill="395796"/>
          </w:tcPr>
          <w:p>
            <w:pPr>
              <w:jc w:val="right"/>
              <w:spacing w:after="0" w:line="145" w:lineRule="exact"/>
              <w:rPr>
                <w:sz w:val="20"/>
                <w:szCs w:val="20"/>
                <w:color w:val="auto"/>
              </w:rPr>
            </w:pPr>
            <w:r>
              <w:rPr>
                <w:rFonts w:ascii="Arial" w:cs="Arial" w:eastAsia="Arial" w:hAnsi="Arial"/>
                <w:sz w:val="14"/>
                <w:szCs w:val="14"/>
                <w:b w:val="1"/>
                <w:bCs w:val="1"/>
                <w:color w:val="FFFFFF"/>
                <w:w w:val="96"/>
              </w:rPr>
              <w:t>Mr. Bruun</w:t>
            </w:r>
          </w:p>
        </w:tc>
        <w:tc>
          <w:tcPr>
            <w:tcW w:w="140" w:type="dxa"/>
            <w:vAlign w:val="bottom"/>
            <w:vMerge w:val="restart"/>
            <w:shd w:val="clear" w:color="auto" w:fill="395796"/>
          </w:tcPr>
          <w:p>
            <w:pPr>
              <w:ind w:left="60"/>
              <w:spacing w:after="0"/>
              <w:rPr>
                <w:sz w:val="20"/>
                <w:szCs w:val="20"/>
                <w:color w:val="auto"/>
              </w:rPr>
            </w:pPr>
            <w:r>
              <w:rPr>
                <w:rFonts w:ascii="Arial" w:cs="Arial" w:eastAsia="Arial" w:hAnsi="Arial"/>
                <w:sz w:val="14"/>
                <w:szCs w:val="14"/>
                <w:b w:val="1"/>
                <w:bCs w:val="1"/>
                <w:color w:val="FFFFFF"/>
              </w:rPr>
              <w:t>​</w:t>
            </w:r>
          </w:p>
        </w:tc>
        <w:tc>
          <w:tcPr>
            <w:tcW w:w="120" w:type="dxa"/>
            <w:vAlign w:val="bottom"/>
            <w:vMerge w:val="restart"/>
            <w:shd w:val="clear" w:color="auto" w:fill="395796"/>
          </w:tcPr>
          <w:p>
            <w:pPr>
              <w:jc w:val="right"/>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395796"/>
          </w:tcPr>
          <w:p>
            <w:pPr>
              <w:jc w:val="right"/>
              <w:spacing w:after="0" w:line="145" w:lineRule="exact"/>
              <w:rPr>
                <w:sz w:val="20"/>
                <w:szCs w:val="20"/>
                <w:color w:val="auto"/>
              </w:rPr>
            </w:pPr>
            <w:r>
              <w:rPr>
                <w:rFonts w:ascii="Arial" w:cs="Arial" w:eastAsia="Arial" w:hAnsi="Arial"/>
                <w:sz w:val="14"/>
                <w:szCs w:val="14"/>
                <w:b w:val="1"/>
                <w:bCs w:val="1"/>
                <w:color w:val="FFFFFF"/>
              </w:rPr>
              <w:t>NEOs</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54"/>
        </w:trPr>
        <w:tc>
          <w:tcPr>
            <w:tcW w:w="5320" w:type="dxa"/>
            <w:vAlign w:val="bottom"/>
            <w:shd w:val="clear" w:color="auto" w:fill="395796"/>
          </w:tcPr>
          <w:p>
            <w:pPr>
              <w:ind w:left="40"/>
              <w:spacing w:after="0" w:line="54" w:lineRule="exact"/>
              <w:rPr>
                <w:sz w:val="20"/>
                <w:szCs w:val="20"/>
                <w:color w:val="auto"/>
              </w:rPr>
            </w:pPr>
            <w:r>
              <w:rPr>
                <w:rFonts w:ascii="Arial" w:cs="Arial" w:eastAsia="Arial" w:hAnsi="Arial"/>
                <w:sz w:val="6"/>
                <w:szCs w:val="6"/>
                <w:b w:val="1"/>
                <w:bCs w:val="1"/>
                <w:color w:val="FFFFFF"/>
              </w:rPr>
              <w:t>​</w:t>
            </w:r>
          </w:p>
        </w:tc>
        <w:tc>
          <w:tcPr>
            <w:tcW w:w="1880" w:type="dxa"/>
            <w:vAlign w:val="bottom"/>
            <w:vMerge w:val="continue"/>
            <w:shd w:val="clear" w:color="auto" w:fill="395796"/>
          </w:tcPr>
          <w:p>
            <w:pPr>
              <w:spacing w:after="0"/>
              <w:rPr>
                <w:sz w:val="4"/>
                <w:szCs w:val="4"/>
                <w:color w:val="auto"/>
              </w:rPr>
            </w:pPr>
          </w:p>
        </w:tc>
        <w:tc>
          <w:tcPr>
            <w:tcW w:w="100" w:type="dxa"/>
            <w:vAlign w:val="bottom"/>
            <w:shd w:val="clear" w:color="auto" w:fill="395796"/>
          </w:tcPr>
          <w:p>
            <w:pPr>
              <w:jc w:val="right"/>
              <w:spacing w:after="0" w:line="54" w:lineRule="exact"/>
              <w:rPr>
                <w:sz w:val="20"/>
                <w:szCs w:val="20"/>
                <w:color w:val="auto"/>
              </w:rPr>
            </w:pPr>
            <w:r>
              <w:rPr>
                <w:rFonts w:ascii="Arial" w:cs="Arial" w:eastAsia="Arial" w:hAnsi="Arial"/>
                <w:sz w:val="6"/>
                <w:szCs w:val="6"/>
                <w:b w:val="1"/>
                <w:bCs w:val="1"/>
                <w:color w:val="FFFFFF"/>
              </w:rPr>
              <w:t>​</w:t>
            </w:r>
          </w:p>
        </w:tc>
        <w:tc>
          <w:tcPr>
            <w:tcW w:w="620" w:type="dxa"/>
            <w:vAlign w:val="bottom"/>
            <w:shd w:val="clear" w:color="auto" w:fill="395796"/>
          </w:tcPr>
          <w:p>
            <w:pPr>
              <w:spacing w:after="0"/>
              <w:rPr>
                <w:sz w:val="4"/>
                <w:szCs w:val="4"/>
                <w:color w:val="auto"/>
              </w:rPr>
            </w:pPr>
          </w:p>
        </w:tc>
        <w:tc>
          <w:tcPr>
            <w:tcW w:w="140" w:type="dxa"/>
            <w:vAlign w:val="bottom"/>
            <w:vMerge w:val="continue"/>
            <w:shd w:val="clear" w:color="auto" w:fill="395796"/>
          </w:tcPr>
          <w:p>
            <w:pPr>
              <w:spacing w:after="0"/>
              <w:rPr>
                <w:sz w:val="4"/>
                <w:szCs w:val="4"/>
                <w:color w:val="auto"/>
              </w:rPr>
            </w:pPr>
          </w:p>
        </w:tc>
        <w:tc>
          <w:tcPr>
            <w:tcW w:w="120" w:type="dxa"/>
            <w:vAlign w:val="bottom"/>
            <w:vMerge w:val="continue"/>
            <w:shd w:val="clear" w:color="auto" w:fill="395796"/>
          </w:tcPr>
          <w:p>
            <w:pPr>
              <w:spacing w:after="0"/>
              <w:rPr>
                <w:sz w:val="4"/>
                <w:szCs w:val="4"/>
                <w:color w:val="auto"/>
              </w:rPr>
            </w:pPr>
          </w:p>
        </w:tc>
        <w:tc>
          <w:tcPr>
            <w:tcW w:w="740" w:type="dxa"/>
            <w:vAlign w:val="bottom"/>
            <w:shd w:val="clear" w:color="auto" w:fill="395796"/>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40"/>
              <w:spacing w:after="0"/>
              <w:rPr>
                <w:sz w:val="20"/>
                <w:szCs w:val="20"/>
                <w:color w:val="auto"/>
              </w:rPr>
            </w:pPr>
            <w:r>
              <w:rPr>
                <w:rFonts w:ascii="Arial" w:cs="Arial" w:eastAsia="Arial" w:hAnsi="Arial"/>
                <w:sz w:val="14"/>
                <w:szCs w:val="14"/>
                <w:color w:val="auto"/>
              </w:rPr>
              <w:t>Grant Date Fair Value of Equity Awards Granted in 2025</w:t>
            </w:r>
          </w:p>
        </w:tc>
        <w:tc>
          <w:tcPr>
            <w:tcW w:w="1880" w:type="dxa"/>
            <w:vAlign w:val="bottom"/>
            <w:vMerge w:val="restart"/>
          </w:tcPr>
          <w:p>
            <w:pPr>
              <w:ind w:left="18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(425,840)</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(138,398)</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32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880" w:type="dxa"/>
            <w:vAlign w:val="bottom"/>
            <w:vMerge w:val="continue"/>
          </w:tcPr>
          <w:p>
            <w:pPr>
              <w:spacing w:after="0"/>
              <w:rPr>
                <w:sz w:val="4"/>
                <w:szCs w:val="4"/>
                <w:color w:val="auto"/>
              </w:rPr>
            </w:pPr>
          </w:p>
        </w:tc>
        <w:tc>
          <w:tcPr>
            <w:tcW w:w="10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6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320" w:type="dxa"/>
            <w:vAlign w:val="bottom"/>
            <w:shd w:val="clear" w:color="auto" w:fill="D8D8D8"/>
          </w:tcPr>
          <w:p>
            <w:pPr>
              <w:ind w:left="40"/>
              <w:spacing w:after="0"/>
              <w:rPr>
                <w:sz w:val="20"/>
                <w:szCs w:val="20"/>
                <w:color w:val="auto"/>
              </w:rPr>
            </w:pPr>
            <w:r>
              <w:rPr>
                <w:rFonts w:ascii="Arial" w:cs="Arial" w:eastAsia="Arial" w:hAnsi="Arial"/>
                <w:sz w:val="14"/>
                <w:szCs w:val="14"/>
                <w:color w:val="auto"/>
              </w:rPr>
              <w:t>New Grants Unvested at Year-End</w:t>
            </w:r>
          </w:p>
        </w:tc>
        <w:tc>
          <w:tcPr>
            <w:tcW w:w="1880" w:type="dxa"/>
            <w:vAlign w:val="bottom"/>
            <w:vMerge w:val="restart"/>
            <w:shd w:val="clear" w:color="auto" w:fill="D8D8D8"/>
          </w:tcPr>
          <w:p>
            <w:pPr>
              <w:ind w:left="18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457,811</w:t>
            </w:r>
          </w:p>
        </w:tc>
        <w:tc>
          <w:tcPr>
            <w:tcW w:w="140" w:type="dxa"/>
            <w:vAlign w:val="bottom"/>
            <w:vMerge w:val="restart"/>
            <w:shd w:val="clear" w:color="auto" w:fill="D8D8D8"/>
          </w:tcPr>
          <w:p>
            <w:pPr>
              <w:ind w:left="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148,789</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320" w:type="dxa"/>
            <w:vAlign w:val="bottom"/>
            <w:shd w:val="clear" w:color="auto" w:fill="D8D8D8"/>
          </w:tcPr>
          <w:p>
            <w:pPr>
              <w:ind w:left="40"/>
              <w:spacing w:after="0" w:line="54" w:lineRule="exact"/>
              <w:rPr>
                <w:sz w:val="20"/>
                <w:szCs w:val="20"/>
                <w:color w:val="auto"/>
              </w:rPr>
            </w:pPr>
            <w:r>
              <w:rPr>
                <w:rFonts w:ascii="Arial" w:cs="Arial" w:eastAsia="Arial" w:hAnsi="Arial"/>
                <w:sz w:val="6"/>
                <w:szCs w:val="6"/>
                <w:color w:val="auto"/>
              </w:rPr>
              <w:t>​</w:t>
            </w:r>
          </w:p>
        </w:tc>
        <w:tc>
          <w:tcPr>
            <w:tcW w:w="1880" w:type="dxa"/>
            <w:vAlign w:val="bottom"/>
            <w:vMerge w:val="continue"/>
            <w:shd w:val="clear" w:color="auto" w:fill="D8D8D8"/>
          </w:tcPr>
          <w:p>
            <w:pPr>
              <w:spacing w:after="0"/>
              <w:rPr>
                <w:sz w:val="4"/>
                <w:szCs w:val="4"/>
                <w:color w:val="auto"/>
              </w:rPr>
            </w:pPr>
          </w:p>
        </w:tc>
        <w:tc>
          <w:tcPr>
            <w:tcW w:w="100" w:type="dxa"/>
            <w:vAlign w:val="bottom"/>
            <w:vMerge w:val="continue"/>
            <w:shd w:val="clear" w:color="auto" w:fill="D8D8D8"/>
          </w:tcPr>
          <w:p>
            <w:pPr>
              <w:spacing w:after="0"/>
              <w:rPr>
                <w:sz w:val="4"/>
                <w:szCs w:val="4"/>
                <w:color w:val="auto"/>
              </w:rPr>
            </w:pPr>
          </w:p>
        </w:tc>
        <w:tc>
          <w:tcPr>
            <w:tcW w:w="620" w:type="dxa"/>
            <w:vAlign w:val="bottom"/>
            <w:shd w:val="clear" w:color="auto" w:fill="D8D8D8"/>
          </w:tcPr>
          <w:p>
            <w:pPr>
              <w:spacing w:after="0"/>
              <w:rPr>
                <w:sz w:val="4"/>
                <w:szCs w:val="4"/>
                <w:color w:val="auto"/>
              </w:rPr>
            </w:pPr>
          </w:p>
        </w:tc>
        <w:tc>
          <w:tcPr>
            <w:tcW w:w="140" w:type="dxa"/>
            <w:vAlign w:val="bottom"/>
            <w:vMerge w:val="continue"/>
            <w:shd w:val="clear" w:color="auto" w:fill="D8D8D8"/>
          </w:tcPr>
          <w:p>
            <w:pPr>
              <w:spacing w:after="0"/>
              <w:rPr>
                <w:sz w:val="4"/>
                <w:szCs w:val="4"/>
                <w:color w:val="auto"/>
              </w:rPr>
            </w:pPr>
          </w:p>
        </w:tc>
        <w:tc>
          <w:tcPr>
            <w:tcW w:w="120" w:type="dxa"/>
            <w:vAlign w:val="bottom"/>
            <w:vMerge w:val="continue"/>
            <w:shd w:val="clear" w:color="auto" w:fill="D8D8D8"/>
          </w:tcPr>
          <w:p>
            <w:pPr>
              <w:spacing w:after="0"/>
              <w:rPr>
                <w:sz w:val="4"/>
                <w:szCs w:val="4"/>
                <w:color w:val="auto"/>
              </w:rPr>
            </w:pPr>
          </w:p>
        </w:tc>
        <w:tc>
          <w:tcPr>
            <w:tcW w:w="740" w:type="dxa"/>
            <w:vAlign w:val="bottom"/>
            <w:shd w:val="clear" w:color="auto" w:fill="D8D8D8"/>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320" w:type="dxa"/>
            <w:vAlign w:val="bottom"/>
          </w:tcPr>
          <w:p>
            <w:pPr>
              <w:ind w:left="40"/>
              <w:spacing w:after="0"/>
              <w:rPr>
                <w:sz w:val="20"/>
                <w:szCs w:val="20"/>
                <w:color w:val="auto"/>
              </w:rPr>
            </w:pPr>
            <w:r>
              <w:rPr>
                <w:rFonts w:ascii="Arial" w:cs="Arial" w:eastAsia="Arial" w:hAnsi="Arial"/>
                <w:sz w:val="14"/>
                <w:szCs w:val="14"/>
                <w:color w:val="auto"/>
              </w:rPr>
              <w:t>Prior Year Awards Unvested at Year-End</w:t>
            </w:r>
          </w:p>
        </w:tc>
        <w:tc>
          <w:tcPr>
            <w:tcW w:w="1880" w:type="dxa"/>
            <w:vAlign w:val="bottom"/>
            <w:vMerge w:val="restart"/>
          </w:tcPr>
          <w:p>
            <w:pPr>
              <w:ind w:left="18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(1,397)</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(678)</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32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8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320" w:type="dxa"/>
            <w:vAlign w:val="bottom"/>
            <w:shd w:val="clear" w:color="auto" w:fill="D8D8D8"/>
          </w:tcPr>
          <w:p>
            <w:pPr>
              <w:ind w:left="40"/>
              <w:spacing w:after="0"/>
              <w:rPr>
                <w:sz w:val="20"/>
                <w:szCs w:val="20"/>
                <w:color w:val="auto"/>
              </w:rPr>
            </w:pPr>
            <w:r>
              <w:rPr>
                <w:rFonts w:ascii="Arial" w:cs="Arial" w:eastAsia="Arial" w:hAnsi="Arial"/>
                <w:sz w:val="14"/>
                <w:szCs w:val="14"/>
                <w:color w:val="auto"/>
              </w:rPr>
              <w:t>New Grants that Vested in 2025</w:t>
            </w:r>
          </w:p>
        </w:tc>
        <w:tc>
          <w:tcPr>
            <w:tcW w:w="1880" w:type="dxa"/>
            <w:vAlign w:val="bottom"/>
            <w:vMerge w:val="restart"/>
            <w:shd w:val="clear" w:color="auto" w:fill="D8D8D8"/>
          </w:tcPr>
          <w:p>
            <w:pPr>
              <w:ind w:left="18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D8D8D8"/>
          </w:tcPr>
          <w:p>
            <w:pPr>
              <w:ind w:left="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320" w:type="dxa"/>
            <w:vAlign w:val="bottom"/>
            <w:shd w:val="clear" w:color="auto" w:fill="D8D8D8"/>
          </w:tcPr>
          <w:p>
            <w:pPr>
              <w:ind w:left="40"/>
              <w:spacing w:after="0" w:line="54" w:lineRule="exact"/>
              <w:rPr>
                <w:sz w:val="20"/>
                <w:szCs w:val="20"/>
                <w:color w:val="auto"/>
              </w:rPr>
            </w:pPr>
            <w:r>
              <w:rPr>
                <w:rFonts w:ascii="Arial" w:cs="Arial" w:eastAsia="Arial" w:hAnsi="Arial"/>
                <w:sz w:val="6"/>
                <w:szCs w:val="6"/>
                <w:color w:val="auto"/>
              </w:rPr>
              <w:t>​</w:t>
            </w:r>
          </w:p>
        </w:tc>
        <w:tc>
          <w:tcPr>
            <w:tcW w:w="1880" w:type="dxa"/>
            <w:vAlign w:val="bottom"/>
            <w:vMerge w:val="continue"/>
            <w:shd w:val="clear" w:color="auto" w:fill="D8D8D8"/>
          </w:tcPr>
          <w:p>
            <w:pPr>
              <w:spacing w:after="0"/>
              <w:rPr>
                <w:sz w:val="4"/>
                <w:szCs w:val="4"/>
                <w:color w:val="auto"/>
              </w:rPr>
            </w:pPr>
          </w:p>
        </w:tc>
        <w:tc>
          <w:tcPr>
            <w:tcW w:w="100" w:type="dxa"/>
            <w:vAlign w:val="bottom"/>
            <w:vMerge w:val="continue"/>
            <w:shd w:val="clear" w:color="auto" w:fill="D8D8D8"/>
          </w:tcPr>
          <w:p>
            <w:pPr>
              <w:spacing w:after="0"/>
              <w:rPr>
                <w:sz w:val="4"/>
                <w:szCs w:val="4"/>
                <w:color w:val="auto"/>
              </w:rPr>
            </w:pPr>
          </w:p>
        </w:tc>
        <w:tc>
          <w:tcPr>
            <w:tcW w:w="620" w:type="dxa"/>
            <w:vAlign w:val="bottom"/>
            <w:shd w:val="clear" w:color="auto" w:fill="D8D8D8"/>
          </w:tcPr>
          <w:p>
            <w:pPr>
              <w:spacing w:after="0"/>
              <w:rPr>
                <w:sz w:val="4"/>
                <w:szCs w:val="4"/>
                <w:color w:val="auto"/>
              </w:rPr>
            </w:pPr>
          </w:p>
        </w:tc>
        <w:tc>
          <w:tcPr>
            <w:tcW w:w="140" w:type="dxa"/>
            <w:vAlign w:val="bottom"/>
            <w:vMerge w:val="continue"/>
            <w:shd w:val="clear" w:color="auto" w:fill="D8D8D8"/>
          </w:tcPr>
          <w:p>
            <w:pPr>
              <w:spacing w:after="0"/>
              <w:rPr>
                <w:sz w:val="4"/>
                <w:szCs w:val="4"/>
                <w:color w:val="auto"/>
              </w:rPr>
            </w:pPr>
          </w:p>
        </w:tc>
        <w:tc>
          <w:tcPr>
            <w:tcW w:w="120" w:type="dxa"/>
            <w:vAlign w:val="bottom"/>
            <w:vMerge w:val="continue"/>
            <w:shd w:val="clear" w:color="auto" w:fill="D8D8D8"/>
          </w:tcPr>
          <w:p>
            <w:pPr>
              <w:spacing w:after="0"/>
              <w:rPr>
                <w:sz w:val="4"/>
                <w:szCs w:val="4"/>
                <w:color w:val="auto"/>
              </w:rPr>
            </w:pPr>
          </w:p>
        </w:tc>
        <w:tc>
          <w:tcPr>
            <w:tcW w:w="740" w:type="dxa"/>
            <w:vAlign w:val="bottom"/>
            <w:shd w:val="clear" w:color="auto" w:fill="D8D8D8"/>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5320" w:type="dxa"/>
            <w:vAlign w:val="bottom"/>
          </w:tcPr>
          <w:p>
            <w:pPr>
              <w:ind w:left="40"/>
              <w:spacing w:after="0"/>
              <w:rPr>
                <w:sz w:val="20"/>
                <w:szCs w:val="20"/>
                <w:color w:val="auto"/>
              </w:rPr>
            </w:pPr>
            <w:r>
              <w:rPr>
                <w:rFonts w:ascii="Arial" w:cs="Arial" w:eastAsia="Arial" w:hAnsi="Arial"/>
                <w:sz w:val="14"/>
                <w:szCs w:val="14"/>
                <w:color w:val="auto"/>
              </w:rPr>
              <w:t>Prior Year Awards that Vested in 2025</w:t>
            </w:r>
          </w:p>
        </w:tc>
        <w:tc>
          <w:tcPr>
            <w:tcW w:w="1880" w:type="dxa"/>
            <w:vAlign w:val="bottom"/>
            <w:vMerge w:val="restart"/>
          </w:tcPr>
          <w:p>
            <w:pPr>
              <w:ind w:left="18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(34,351)</w:t>
            </w:r>
          </w:p>
        </w:tc>
        <w:tc>
          <w:tcPr>
            <w:tcW w:w="14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(12,585)</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320" w:type="dxa"/>
            <w:vAlign w:val="bottom"/>
          </w:tcPr>
          <w:p>
            <w:pPr>
              <w:ind w:left="40"/>
              <w:spacing w:after="0" w:line="54" w:lineRule="exact"/>
              <w:rPr>
                <w:sz w:val="20"/>
                <w:szCs w:val="20"/>
                <w:color w:val="auto"/>
              </w:rPr>
            </w:pPr>
            <w:r>
              <w:rPr>
                <w:rFonts w:ascii="Arial" w:cs="Arial" w:eastAsia="Arial" w:hAnsi="Arial"/>
                <w:sz w:val="6"/>
                <w:szCs w:val="6"/>
                <w:color w:val="auto"/>
              </w:rPr>
              <w:t>​</w:t>
            </w:r>
          </w:p>
        </w:tc>
        <w:tc>
          <w:tcPr>
            <w:tcW w:w="188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5320" w:type="dxa"/>
            <w:vAlign w:val="bottom"/>
            <w:shd w:val="clear" w:color="auto" w:fill="D8D8D8"/>
          </w:tcPr>
          <w:p>
            <w:pPr>
              <w:ind w:left="40"/>
              <w:spacing w:after="0"/>
              <w:rPr>
                <w:sz w:val="20"/>
                <w:szCs w:val="20"/>
                <w:color w:val="auto"/>
              </w:rPr>
            </w:pPr>
            <w:r>
              <w:rPr>
                <w:rFonts w:ascii="Arial" w:cs="Arial" w:eastAsia="Arial" w:hAnsi="Arial"/>
                <w:sz w:val="14"/>
                <w:szCs w:val="14"/>
                <w:color w:val="auto"/>
              </w:rPr>
              <w:t>Prior Year Awards that Failed to Vest in 2025</w:t>
            </w:r>
          </w:p>
        </w:tc>
        <w:tc>
          <w:tcPr>
            <w:tcW w:w="1880" w:type="dxa"/>
            <w:vAlign w:val="bottom"/>
            <w:vMerge w:val="restart"/>
            <w:shd w:val="clear" w:color="auto" w:fill="D8D8D8"/>
          </w:tcPr>
          <w:p>
            <w:pPr>
              <w:ind w:left="18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D8D8D8"/>
          </w:tcPr>
          <w:p>
            <w:pPr>
              <w:ind w:left="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320" w:type="dxa"/>
            <w:vAlign w:val="bottom"/>
            <w:shd w:val="clear" w:color="auto" w:fill="D8D8D8"/>
          </w:tcPr>
          <w:p>
            <w:pPr>
              <w:ind w:left="40"/>
              <w:spacing w:after="0" w:line="54" w:lineRule="exact"/>
              <w:rPr>
                <w:sz w:val="20"/>
                <w:szCs w:val="20"/>
                <w:color w:val="auto"/>
              </w:rPr>
            </w:pPr>
            <w:r>
              <w:rPr>
                <w:rFonts w:ascii="Arial" w:cs="Arial" w:eastAsia="Arial" w:hAnsi="Arial"/>
                <w:sz w:val="6"/>
                <w:szCs w:val="6"/>
                <w:color w:val="auto"/>
              </w:rPr>
              <w:t>​</w:t>
            </w:r>
          </w:p>
        </w:tc>
        <w:tc>
          <w:tcPr>
            <w:tcW w:w="1880" w:type="dxa"/>
            <w:vAlign w:val="bottom"/>
            <w:vMerge w:val="continue"/>
            <w:shd w:val="clear" w:color="auto" w:fill="D8D8D8"/>
          </w:tcPr>
          <w:p>
            <w:pPr>
              <w:spacing w:after="0"/>
              <w:rPr>
                <w:sz w:val="4"/>
                <w:szCs w:val="4"/>
                <w:color w:val="auto"/>
              </w:rPr>
            </w:pPr>
          </w:p>
        </w:tc>
        <w:tc>
          <w:tcPr>
            <w:tcW w:w="100" w:type="dxa"/>
            <w:vAlign w:val="bottom"/>
            <w:vMerge w:val="continue"/>
            <w:shd w:val="clear" w:color="auto" w:fill="D8D8D8"/>
          </w:tcPr>
          <w:p>
            <w:pPr>
              <w:spacing w:after="0"/>
              <w:rPr>
                <w:sz w:val="4"/>
                <w:szCs w:val="4"/>
                <w:color w:val="auto"/>
              </w:rPr>
            </w:pPr>
          </w:p>
        </w:tc>
        <w:tc>
          <w:tcPr>
            <w:tcW w:w="620" w:type="dxa"/>
            <w:vAlign w:val="bottom"/>
            <w:shd w:val="clear" w:color="auto" w:fill="D8D8D8"/>
          </w:tcPr>
          <w:p>
            <w:pPr>
              <w:spacing w:after="0"/>
              <w:rPr>
                <w:sz w:val="4"/>
                <w:szCs w:val="4"/>
                <w:color w:val="auto"/>
              </w:rPr>
            </w:pPr>
          </w:p>
        </w:tc>
        <w:tc>
          <w:tcPr>
            <w:tcW w:w="140" w:type="dxa"/>
            <w:vAlign w:val="bottom"/>
            <w:vMerge w:val="continue"/>
            <w:shd w:val="clear" w:color="auto" w:fill="D8D8D8"/>
          </w:tcPr>
          <w:p>
            <w:pPr>
              <w:spacing w:after="0"/>
              <w:rPr>
                <w:sz w:val="4"/>
                <w:szCs w:val="4"/>
                <w:color w:val="auto"/>
              </w:rPr>
            </w:pPr>
          </w:p>
        </w:tc>
        <w:tc>
          <w:tcPr>
            <w:tcW w:w="120" w:type="dxa"/>
            <w:vAlign w:val="bottom"/>
            <w:vMerge w:val="continue"/>
            <w:shd w:val="clear" w:color="auto" w:fill="D8D8D8"/>
          </w:tcPr>
          <w:p>
            <w:pPr>
              <w:spacing w:after="0"/>
              <w:rPr>
                <w:sz w:val="4"/>
                <w:szCs w:val="4"/>
                <w:color w:val="auto"/>
              </w:rPr>
            </w:pPr>
          </w:p>
        </w:tc>
        <w:tc>
          <w:tcPr>
            <w:tcW w:w="740" w:type="dxa"/>
            <w:vAlign w:val="bottom"/>
            <w:shd w:val="clear" w:color="auto" w:fill="D8D8D8"/>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0"/>
              <w:spacing w:after="0"/>
              <w:rPr>
                <w:sz w:val="20"/>
                <w:szCs w:val="20"/>
                <w:color w:val="auto"/>
              </w:rPr>
            </w:pPr>
            <w:r>
              <w:rPr>
                <w:rFonts w:ascii="Arial" w:cs="Arial" w:eastAsia="Arial" w:hAnsi="Arial"/>
                <w:sz w:val="14"/>
                <w:szCs w:val="14"/>
                <w:color w:val="auto"/>
              </w:rPr>
              <w:t>​Dividends or Earnings on Awards Before Vesting</w:t>
            </w:r>
          </w:p>
        </w:tc>
        <w:tc>
          <w:tcPr>
            <w:tcW w:w="19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53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jc w:val="both"/>
        <w:ind w:left="1060" w:right="20"/>
        <w:spacing w:after="0" w:line="258" w:lineRule="auto"/>
        <w:rPr>
          <w:sz w:val="20"/>
          <w:szCs w:val="20"/>
          <w:color w:val="auto"/>
        </w:rPr>
      </w:pPr>
      <w:r>
        <w:rPr>
          <w:rFonts w:ascii="Arial" w:cs="Arial" w:eastAsia="Arial" w:hAnsi="Arial"/>
          <w:sz w:val="14"/>
          <w:szCs w:val="14"/>
          <w:color w:val="auto"/>
        </w:rPr>
        <w:t>Assumptions used in the calculation of fair values for this table that differed from the assumptions disclosed in the calculation of fair value as of the respective grant dates are: for option valuations as of December 31, 2024, a risk-free rate of 4.36%, volatility of 48.63%, an expected total life of 4.32 years (adjusted down based on time since grant), and the closing stock price on December 31, 2024; for option valuations during 2025, a risk-free rate of 3.93%, volatility of 40.81%, an expected total life of 4.00 years (adjusted down based on time since grant), and the closing stock price on, or in the case of weekend valuation dates immediately prior to, the valuation date; for RSAs, the closing stock price on, or in the case of weekend valuation dates immediately prior to, the valuation date.</w:t>
      </w:r>
    </w:p>
    <w:p>
      <w:pPr>
        <w:spacing w:after="0" w:line="2" w:lineRule="exact"/>
        <w:rPr>
          <w:sz w:val="20"/>
          <w:szCs w:val="20"/>
          <w:color w:val="auto"/>
        </w:rPr>
      </w:pPr>
    </w:p>
    <w:p>
      <w:pPr>
        <w:jc w:val="both"/>
        <w:ind w:left="1060" w:right="20" w:hanging="352"/>
        <w:spacing w:after="0" w:line="278" w:lineRule="auto"/>
        <w:tabs>
          <w:tab w:leader="none" w:pos="1060" w:val="left"/>
        </w:tabs>
        <w:numPr>
          <w:ilvl w:val="0"/>
          <w:numId w:val="24"/>
        </w:numPr>
        <w:rPr>
          <w:rFonts w:ascii="Arial" w:cs="Arial" w:eastAsia="Arial" w:hAnsi="Arial"/>
          <w:sz w:val="14"/>
          <w:szCs w:val="14"/>
          <w:color w:val="395796"/>
        </w:rPr>
      </w:pPr>
      <w:r>
        <w:rPr>
          <w:rFonts w:ascii="Arial" w:cs="Arial" w:eastAsia="Arial" w:hAnsi="Arial"/>
          <w:sz w:val="14"/>
          <w:szCs w:val="14"/>
          <w:color w:val="auto"/>
        </w:rPr>
        <w:t>Represents compensation actually paid for 2024 to Brent C. Bruun, our chief executive officer during 2024, and the average compensation actually paid for 2024 to Felise B. Feingold, Anthony Pike, Roger A. Kuebel and Robert J. Balog, our other named executive officers for 2024. The employment of Messrs. Kuebel and Balog terminated in 2024, and the compensation actually paid to them includes severance compensation paid to them in 2024, including the acceleration of vesting of certain equity awards. The following table provides the adjustments to total compensation that were made in order to calculate compensation actually paid (excluding the grant-date fair value of equity awards granted in 2024, which is presented separately in the Summary Compensation Table):</w:t>
      </w:r>
    </w:p>
    <w:p>
      <w:pPr>
        <w:spacing w:after="0" w:line="118" w:lineRule="exact"/>
        <w:rPr>
          <w:sz w:val="20"/>
          <w:szCs w:val="20"/>
          <w:color w:val="auto"/>
        </w:rPr>
      </w:pPr>
    </w:p>
    <w:tbl>
      <w:tblPr>
        <w:tblLayout w:type="fixed"/>
        <w:tblInd w:w="1080" w:type="dxa"/>
        <w:tblCellMar>
          <w:top w:w="0" w:type="dxa"/>
          <w:left w:w="0" w:type="dxa"/>
          <w:bottom w:w="0" w:type="dxa"/>
          <w:right w:w="0" w:type="dxa"/>
        </w:tblCellMar>
      </w:tblPr>
      <w:tr>
        <w:trPr>
          <w:trHeight w:val="193"/>
        </w:trPr>
        <w:tc>
          <w:tcPr>
            <w:tcW w:w="5320" w:type="dxa"/>
            <w:vAlign w:val="bottom"/>
            <w:shd w:val="clear" w:color="auto" w:fill="395796"/>
          </w:tcPr>
          <w:p>
            <w:pPr>
              <w:spacing w:after="0"/>
              <w:rPr>
                <w:sz w:val="16"/>
                <w:szCs w:val="16"/>
                <w:color w:val="auto"/>
              </w:rPr>
            </w:pPr>
          </w:p>
        </w:tc>
        <w:tc>
          <w:tcPr>
            <w:tcW w:w="1980" w:type="dxa"/>
            <w:vAlign w:val="bottom"/>
            <w:shd w:val="clear" w:color="auto" w:fill="395796"/>
          </w:tcPr>
          <w:p>
            <w:pPr>
              <w:spacing w:after="0"/>
              <w:rPr>
                <w:sz w:val="16"/>
                <w:szCs w:val="16"/>
                <w:color w:val="auto"/>
              </w:rPr>
            </w:pPr>
          </w:p>
        </w:tc>
        <w:tc>
          <w:tcPr>
            <w:tcW w:w="620" w:type="dxa"/>
            <w:vAlign w:val="bottom"/>
            <w:shd w:val="clear" w:color="auto" w:fill="395796"/>
          </w:tcPr>
          <w:p>
            <w:pPr>
              <w:spacing w:after="0"/>
              <w:rPr>
                <w:sz w:val="16"/>
                <w:szCs w:val="16"/>
                <w:color w:val="auto"/>
              </w:rPr>
            </w:pPr>
          </w:p>
        </w:tc>
        <w:tc>
          <w:tcPr>
            <w:tcW w:w="1000" w:type="dxa"/>
            <w:vAlign w:val="bottom"/>
            <w:gridSpan w:val="2"/>
            <w:shd w:val="clear" w:color="auto" w:fill="395796"/>
          </w:tcPr>
          <w:p>
            <w:pPr>
              <w:jc w:val="right"/>
              <w:ind w:right="8"/>
              <w:spacing w:after="0"/>
              <w:rPr>
                <w:sz w:val="20"/>
                <w:szCs w:val="20"/>
                <w:color w:val="auto"/>
              </w:rPr>
            </w:pPr>
            <w:r>
              <w:rPr>
                <w:rFonts w:ascii="Arial" w:cs="Arial" w:eastAsia="Arial" w:hAnsi="Arial"/>
                <w:sz w:val="14"/>
                <w:szCs w:val="14"/>
                <w:b w:val="1"/>
                <w:bCs w:val="1"/>
                <w:color w:val="FFFFFF"/>
              </w:rPr>
              <w:t>Average for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395796"/>
          </w:tcPr>
          <w:p>
            <w:pPr>
              <w:spacing w:after="0"/>
              <w:rPr>
                <w:sz w:val="14"/>
                <w:szCs w:val="14"/>
                <w:color w:val="auto"/>
              </w:rPr>
            </w:pPr>
          </w:p>
        </w:tc>
        <w:tc>
          <w:tcPr>
            <w:tcW w:w="1980" w:type="dxa"/>
            <w:vAlign w:val="bottom"/>
            <w:shd w:val="clear" w:color="auto" w:fill="395796"/>
          </w:tcPr>
          <w:p>
            <w:pPr>
              <w:spacing w:after="0"/>
              <w:rPr>
                <w:sz w:val="14"/>
                <w:szCs w:val="14"/>
                <w:color w:val="auto"/>
              </w:rPr>
            </w:pPr>
          </w:p>
        </w:tc>
        <w:tc>
          <w:tcPr>
            <w:tcW w:w="620" w:type="dxa"/>
            <w:vAlign w:val="bottom"/>
            <w:shd w:val="clear" w:color="auto" w:fill="395796"/>
          </w:tcPr>
          <w:p>
            <w:pPr>
              <w:spacing w:after="0"/>
              <w:rPr>
                <w:sz w:val="14"/>
                <w:szCs w:val="14"/>
                <w:color w:val="auto"/>
              </w:rPr>
            </w:pPr>
          </w:p>
        </w:tc>
        <w:tc>
          <w:tcPr>
            <w:tcW w:w="260" w:type="dxa"/>
            <w:vAlign w:val="bottom"/>
            <w:shd w:val="clear" w:color="auto" w:fill="395796"/>
          </w:tcPr>
          <w:p>
            <w:pPr>
              <w:spacing w:after="0"/>
              <w:rPr>
                <w:sz w:val="14"/>
                <w:szCs w:val="14"/>
                <w:color w:val="auto"/>
              </w:rPr>
            </w:pPr>
          </w:p>
        </w:tc>
        <w:tc>
          <w:tcPr>
            <w:tcW w:w="740" w:type="dxa"/>
            <w:vAlign w:val="bottom"/>
            <w:shd w:val="clear" w:color="auto" w:fill="395796"/>
          </w:tcPr>
          <w:p>
            <w:pPr>
              <w:jc w:val="right"/>
              <w:ind w:right="8"/>
              <w:spacing w:after="0"/>
              <w:rPr>
                <w:sz w:val="20"/>
                <w:szCs w:val="20"/>
                <w:color w:val="auto"/>
              </w:rPr>
            </w:pPr>
            <w:r>
              <w:rPr>
                <w:rFonts w:ascii="Arial" w:cs="Arial" w:eastAsia="Arial" w:hAnsi="Arial"/>
                <w:sz w:val="14"/>
                <w:szCs w:val="14"/>
                <w:b w:val="1"/>
                <w:bCs w:val="1"/>
                <w:color w:val="FFFFFF"/>
              </w:rPr>
              <w:t>non-PEO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320" w:type="dxa"/>
            <w:vAlign w:val="bottom"/>
            <w:shd w:val="clear" w:color="auto" w:fill="395796"/>
          </w:tcPr>
          <w:p>
            <w:pPr>
              <w:ind w:left="40"/>
              <w:spacing w:after="0" w:line="145" w:lineRule="exact"/>
              <w:rPr>
                <w:sz w:val="20"/>
                <w:szCs w:val="20"/>
                <w:color w:val="auto"/>
              </w:rPr>
            </w:pPr>
            <w:r>
              <w:rPr>
                <w:rFonts w:ascii="Arial" w:cs="Arial" w:eastAsia="Arial" w:hAnsi="Arial"/>
                <w:sz w:val="14"/>
                <w:szCs w:val="14"/>
                <w:b w:val="1"/>
                <w:bCs w:val="1"/>
                <w:color w:val="FFFFFF"/>
              </w:rPr>
              <w:t>Change in Fair Value</w:t>
            </w:r>
          </w:p>
        </w:tc>
        <w:tc>
          <w:tcPr>
            <w:tcW w:w="2600" w:type="dxa"/>
            <w:vAlign w:val="bottom"/>
            <w:gridSpan w:val="2"/>
            <w:shd w:val="clear" w:color="auto" w:fill="395796"/>
          </w:tcPr>
          <w:p>
            <w:pPr>
              <w:ind w:left="1920"/>
              <w:spacing w:after="0" w:line="145" w:lineRule="exact"/>
              <w:rPr>
                <w:sz w:val="20"/>
                <w:szCs w:val="20"/>
                <w:color w:val="auto"/>
              </w:rPr>
            </w:pPr>
            <w:r>
              <w:rPr>
                <w:rFonts w:ascii="Arial" w:cs="Arial" w:eastAsia="Arial" w:hAnsi="Arial"/>
                <w:sz w:val="14"/>
                <w:szCs w:val="14"/>
                <w:b w:val="1"/>
                <w:bCs w:val="1"/>
                <w:color w:val="FFFFFF"/>
                <w:w w:val="99"/>
              </w:rPr>
              <w:t>Mr. Bruun</w:t>
            </w:r>
          </w:p>
        </w:tc>
        <w:tc>
          <w:tcPr>
            <w:tcW w:w="260" w:type="dxa"/>
            <w:vAlign w:val="bottom"/>
            <w:vMerge w:val="restart"/>
            <w:shd w:val="clear" w:color="auto" w:fill="395796"/>
          </w:tcPr>
          <w:p>
            <w:pPr>
              <w:ind w:left="60"/>
              <w:spacing w:after="0"/>
              <w:rPr>
                <w:sz w:val="20"/>
                <w:szCs w:val="20"/>
                <w:color w:val="auto"/>
              </w:rPr>
            </w:pPr>
            <w:r>
              <w:rPr>
                <w:rFonts w:ascii="Arial" w:cs="Arial" w:eastAsia="Arial" w:hAnsi="Arial"/>
                <w:sz w:val="14"/>
                <w:szCs w:val="14"/>
                <w:b w:val="1"/>
                <w:bCs w:val="1"/>
                <w:color w:val="FFFFFF"/>
              </w:rPr>
              <w:t>​ ​</w:t>
            </w:r>
          </w:p>
        </w:tc>
        <w:tc>
          <w:tcPr>
            <w:tcW w:w="740" w:type="dxa"/>
            <w:vAlign w:val="bottom"/>
            <w:shd w:val="clear" w:color="auto" w:fill="395796"/>
          </w:tcPr>
          <w:p>
            <w:pPr>
              <w:jc w:val="right"/>
              <w:spacing w:after="0" w:line="145" w:lineRule="exact"/>
              <w:rPr>
                <w:sz w:val="20"/>
                <w:szCs w:val="20"/>
                <w:color w:val="auto"/>
              </w:rPr>
            </w:pPr>
            <w:r>
              <w:rPr>
                <w:rFonts w:ascii="Arial" w:cs="Arial" w:eastAsia="Arial" w:hAnsi="Arial"/>
                <w:sz w:val="14"/>
                <w:szCs w:val="14"/>
                <w:b w:val="1"/>
                <w:bCs w:val="1"/>
                <w:color w:val="FFFFFF"/>
              </w:rPr>
              <w:t>NEOs</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54"/>
        </w:trPr>
        <w:tc>
          <w:tcPr>
            <w:tcW w:w="5320" w:type="dxa"/>
            <w:vAlign w:val="bottom"/>
            <w:shd w:val="clear" w:color="auto" w:fill="395796"/>
          </w:tcPr>
          <w:p>
            <w:pPr>
              <w:ind w:left="40"/>
              <w:spacing w:after="0" w:line="54" w:lineRule="exact"/>
              <w:rPr>
                <w:sz w:val="20"/>
                <w:szCs w:val="20"/>
                <w:color w:val="auto"/>
              </w:rPr>
            </w:pPr>
            <w:r>
              <w:rPr>
                <w:rFonts w:ascii="Arial" w:cs="Arial" w:eastAsia="Arial" w:hAnsi="Arial"/>
                <w:sz w:val="6"/>
                <w:szCs w:val="6"/>
                <w:b w:val="1"/>
                <w:bCs w:val="1"/>
                <w:color w:val="FFFFFF"/>
              </w:rPr>
              <w:t>​</w:t>
            </w:r>
          </w:p>
        </w:tc>
        <w:tc>
          <w:tcPr>
            <w:tcW w:w="1980" w:type="dxa"/>
            <w:vAlign w:val="bottom"/>
            <w:shd w:val="clear" w:color="auto" w:fill="395796"/>
          </w:tcPr>
          <w:p>
            <w:pPr>
              <w:ind w:left="1800"/>
              <w:spacing w:after="0" w:line="54" w:lineRule="exact"/>
              <w:rPr>
                <w:sz w:val="20"/>
                <w:szCs w:val="20"/>
                <w:color w:val="auto"/>
              </w:rPr>
            </w:pPr>
            <w:r>
              <w:rPr>
                <w:rFonts w:ascii="Arial" w:cs="Arial" w:eastAsia="Arial" w:hAnsi="Arial"/>
                <w:sz w:val="6"/>
                <w:szCs w:val="6"/>
                <w:b w:val="1"/>
                <w:bCs w:val="1"/>
                <w:color w:val="FFFFFF"/>
              </w:rPr>
              <w:t>​ ​</w:t>
            </w:r>
          </w:p>
        </w:tc>
        <w:tc>
          <w:tcPr>
            <w:tcW w:w="620" w:type="dxa"/>
            <w:vAlign w:val="bottom"/>
            <w:shd w:val="clear" w:color="auto" w:fill="395796"/>
          </w:tcPr>
          <w:p>
            <w:pPr>
              <w:spacing w:after="0"/>
              <w:rPr>
                <w:sz w:val="4"/>
                <w:szCs w:val="4"/>
                <w:color w:val="auto"/>
              </w:rPr>
            </w:pPr>
          </w:p>
        </w:tc>
        <w:tc>
          <w:tcPr>
            <w:tcW w:w="260" w:type="dxa"/>
            <w:vAlign w:val="bottom"/>
            <w:vMerge w:val="continue"/>
            <w:shd w:val="clear" w:color="auto" w:fill="395796"/>
          </w:tcPr>
          <w:p>
            <w:pPr>
              <w:spacing w:after="0"/>
              <w:rPr>
                <w:sz w:val="4"/>
                <w:szCs w:val="4"/>
                <w:color w:val="auto"/>
              </w:rPr>
            </w:pPr>
          </w:p>
        </w:tc>
        <w:tc>
          <w:tcPr>
            <w:tcW w:w="740" w:type="dxa"/>
            <w:vAlign w:val="bottom"/>
            <w:shd w:val="clear" w:color="auto" w:fill="395796"/>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40"/>
              <w:spacing w:after="0"/>
              <w:rPr>
                <w:sz w:val="20"/>
                <w:szCs w:val="20"/>
                <w:color w:val="auto"/>
              </w:rPr>
            </w:pPr>
            <w:r>
              <w:rPr>
                <w:rFonts w:ascii="Arial" w:cs="Arial" w:eastAsia="Arial" w:hAnsi="Arial"/>
                <w:sz w:val="14"/>
                <w:szCs w:val="14"/>
                <w:color w:val="auto"/>
              </w:rPr>
              <w:t>​Grant Date Fair Value of Equity Awards Granted in 2024</w:t>
            </w:r>
          </w:p>
        </w:tc>
        <w:tc>
          <w:tcPr>
            <w:tcW w:w="2600" w:type="dxa"/>
            <w:vAlign w:val="bottom"/>
            <w:gridSpan w:val="2"/>
          </w:tcPr>
          <w:p>
            <w:pPr>
              <w:ind w:left="1800"/>
              <w:spacing w:after="0"/>
              <w:rPr>
                <w:sz w:val="20"/>
                <w:szCs w:val="20"/>
                <w:color w:val="auto"/>
              </w:rPr>
            </w:pPr>
            <w:r>
              <w:rPr>
                <w:rFonts w:ascii="Arial" w:cs="Arial" w:eastAsia="Arial" w:hAnsi="Arial"/>
                <w:sz w:val="14"/>
                <w:szCs w:val="14"/>
                <w:color w:val="auto"/>
              </w:rPr>
              <w:t>​ ​(243,845)</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740" w:type="dxa"/>
            <w:vAlign w:val="bottom"/>
          </w:tcPr>
          <w:p>
            <w:pPr>
              <w:jc w:val="right"/>
              <w:spacing w:after="0"/>
              <w:rPr>
                <w:sz w:val="20"/>
                <w:szCs w:val="20"/>
                <w:color w:val="auto"/>
              </w:rPr>
            </w:pPr>
            <w:r>
              <w:rPr>
                <w:rFonts w:ascii="Arial" w:cs="Arial" w:eastAsia="Arial" w:hAnsi="Arial"/>
                <w:sz w:val="14"/>
                <w:szCs w:val="14"/>
                <w:color w:val="auto"/>
              </w:rPr>
              <w:t>(41,543)</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320" w:type="dxa"/>
            <w:vAlign w:val="bottom"/>
            <w:shd w:val="clear" w:color="auto" w:fill="D8D8D8"/>
          </w:tcPr>
          <w:p>
            <w:pPr>
              <w:ind w:left="40"/>
              <w:spacing w:after="0"/>
              <w:rPr>
                <w:sz w:val="20"/>
                <w:szCs w:val="20"/>
                <w:color w:val="auto"/>
              </w:rPr>
            </w:pPr>
            <w:r>
              <w:rPr>
                <w:rFonts w:ascii="Arial" w:cs="Arial" w:eastAsia="Arial" w:hAnsi="Arial"/>
                <w:sz w:val="14"/>
                <w:szCs w:val="14"/>
                <w:color w:val="auto"/>
              </w:rPr>
              <w:t>​New Grants Unvested at Year-End</w:t>
            </w:r>
          </w:p>
        </w:tc>
        <w:tc>
          <w:tcPr>
            <w:tcW w:w="1980" w:type="dxa"/>
            <w:vAlign w:val="bottom"/>
            <w:shd w:val="clear" w:color="auto" w:fill="D8D8D8"/>
          </w:tcPr>
          <w:p>
            <w:pPr>
              <w:ind w:left="1800"/>
              <w:spacing w:after="0"/>
              <w:rPr>
                <w:sz w:val="20"/>
                <w:szCs w:val="20"/>
                <w:color w:val="auto"/>
              </w:rPr>
            </w:pPr>
            <w:r>
              <w:rPr>
                <w:rFonts w:ascii="Arial" w:cs="Arial" w:eastAsia="Arial" w:hAnsi="Arial"/>
                <w:sz w:val="14"/>
                <w:szCs w:val="14"/>
                <w:color w:val="auto"/>
              </w:rPr>
              <w:t>​ ​</w:t>
            </w:r>
          </w:p>
        </w:tc>
        <w:tc>
          <w:tcPr>
            <w:tcW w:w="6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261,345</w:t>
            </w:r>
          </w:p>
        </w:tc>
        <w:tc>
          <w:tcPr>
            <w:tcW w:w="260" w:type="dxa"/>
            <w:vAlign w:val="bottom"/>
            <w:shd w:val="clear" w:color="auto" w:fill="D8D8D8"/>
          </w:tcPr>
          <w:p>
            <w:pPr>
              <w:ind w:left="60"/>
              <w:spacing w:after="0"/>
              <w:rPr>
                <w:sz w:val="20"/>
                <w:szCs w:val="20"/>
                <w:color w:val="auto"/>
              </w:rPr>
            </w:pPr>
            <w:r>
              <w:rPr>
                <w:rFonts w:ascii="Arial" w:cs="Arial" w:eastAsia="Arial" w:hAnsi="Arial"/>
                <w:sz w:val="14"/>
                <w:szCs w:val="14"/>
                <w:color w:val="auto"/>
              </w:rPr>
              <w:t>​ ​</w:t>
            </w:r>
          </w:p>
        </w:tc>
        <w:tc>
          <w:tcPr>
            <w:tcW w:w="7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44,524</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320" w:type="dxa"/>
            <w:vAlign w:val="bottom"/>
          </w:tcPr>
          <w:p>
            <w:pPr>
              <w:ind w:left="40"/>
              <w:spacing w:after="0"/>
              <w:rPr>
                <w:sz w:val="20"/>
                <w:szCs w:val="20"/>
                <w:color w:val="auto"/>
              </w:rPr>
            </w:pPr>
            <w:r>
              <w:rPr>
                <w:rFonts w:ascii="Arial" w:cs="Arial" w:eastAsia="Arial" w:hAnsi="Arial"/>
                <w:sz w:val="14"/>
                <w:szCs w:val="14"/>
                <w:color w:val="auto"/>
              </w:rPr>
              <w:t>​Prior Year Awards Unvested at Year-End</w:t>
            </w:r>
          </w:p>
        </w:tc>
        <w:tc>
          <w:tcPr>
            <w:tcW w:w="1980" w:type="dxa"/>
            <w:vAlign w:val="bottom"/>
          </w:tcPr>
          <w:p>
            <w:pPr>
              <w:ind w:left="180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5,842</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740" w:type="dxa"/>
            <w:vAlign w:val="bottom"/>
          </w:tcPr>
          <w:p>
            <w:pPr>
              <w:jc w:val="right"/>
              <w:spacing w:after="0"/>
              <w:rPr>
                <w:sz w:val="20"/>
                <w:szCs w:val="20"/>
                <w:color w:val="auto"/>
              </w:rPr>
            </w:pPr>
            <w:r>
              <w:rPr>
                <w:rFonts w:ascii="Arial" w:cs="Arial" w:eastAsia="Arial" w:hAnsi="Arial"/>
                <w:sz w:val="14"/>
                <w:szCs w:val="14"/>
                <w:color w:val="auto"/>
              </w:rPr>
              <w:t>815</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5320" w:type="dxa"/>
            <w:vAlign w:val="bottom"/>
            <w:shd w:val="clear" w:color="auto" w:fill="D8D8D8"/>
          </w:tcPr>
          <w:p>
            <w:pPr>
              <w:ind w:left="40"/>
              <w:spacing w:after="0"/>
              <w:rPr>
                <w:sz w:val="20"/>
                <w:szCs w:val="20"/>
                <w:color w:val="auto"/>
              </w:rPr>
            </w:pPr>
            <w:r>
              <w:rPr>
                <w:rFonts w:ascii="Arial" w:cs="Arial" w:eastAsia="Arial" w:hAnsi="Arial"/>
                <w:sz w:val="14"/>
                <w:szCs w:val="14"/>
                <w:color w:val="auto"/>
              </w:rPr>
              <w:t>​New Grants that Vested in 2024</w:t>
            </w:r>
          </w:p>
        </w:tc>
        <w:tc>
          <w:tcPr>
            <w:tcW w:w="1980" w:type="dxa"/>
            <w:vAlign w:val="bottom"/>
            <w:shd w:val="clear" w:color="auto" w:fill="D8D8D8"/>
          </w:tcPr>
          <w:p>
            <w:pPr>
              <w:ind w:left="1800"/>
              <w:spacing w:after="0"/>
              <w:rPr>
                <w:sz w:val="20"/>
                <w:szCs w:val="20"/>
                <w:color w:val="auto"/>
              </w:rPr>
            </w:pPr>
            <w:r>
              <w:rPr>
                <w:rFonts w:ascii="Arial" w:cs="Arial" w:eastAsia="Arial" w:hAnsi="Arial"/>
                <w:sz w:val="14"/>
                <w:szCs w:val="14"/>
                <w:color w:val="auto"/>
              </w:rPr>
              <w:t>​ ​</w:t>
            </w:r>
          </w:p>
        </w:tc>
        <w:tc>
          <w:tcPr>
            <w:tcW w:w="6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ind w:left="60"/>
              <w:spacing w:after="0"/>
              <w:rPr>
                <w:sz w:val="20"/>
                <w:szCs w:val="20"/>
                <w:color w:val="auto"/>
              </w:rPr>
            </w:pPr>
            <w:r>
              <w:rPr>
                <w:rFonts w:ascii="Arial" w:cs="Arial" w:eastAsia="Arial" w:hAnsi="Arial"/>
                <w:sz w:val="14"/>
                <w:szCs w:val="14"/>
                <w:color w:val="auto"/>
              </w:rPr>
              <w:t>​ ​</w:t>
            </w:r>
          </w:p>
        </w:tc>
        <w:tc>
          <w:tcPr>
            <w:tcW w:w="7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320" w:type="dxa"/>
            <w:vAlign w:val="bottom"/>
          </w:tcPr>
          <w:p>
            <w:pPr>
              <w:ind w:left="40"/>
              <w:spacing w:after="0"/>
              <w:rPr>
                <w:sz w:val="20"/>
                <w:szCs w:val="20"/>
                <w:color w:val="auto"/>
              </w:rPr>
            </w:pPr>
            <w:r>
              <w:rPr>
                <w:rFonts w:ascii="Arial" w:cs="Arial" w:eastAsia="Arial" w:hAnsi="Arial"/>
                <w:sz w:val="14"/>
                <w:szCs w:val="14"/>
                <w:color w:val="auto"/>
              </w:rPr>
              <w:t>​Prior Year Awards that Vested in 2024</w:t>
            </w:r>
          </w:p>
        </w:tc>
        <w:tc>
          <w:tcPr>
            <w:tcW w:w="1980" w:type="dxa"/>
            <w:vAlign w:val="bottom"/>
          </w:tcPr>
          <w:p>
            <w:pPr>
              <w:ind w:left="180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(19,082)</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740" w:type="dxa"/>
            <w:vAlign w:val="bottom"/>
          </w:tcPr>
          <w:p>
            <w:pPr>
              <w:jc w:val="right"/>
              <w:spacing w:after="0"/>
              <w:rPr>
                <w:sz w:val="20"/>
                <w:szCs w:val="20"/>
                <w:color w:val="auto"/>
              </w:rPr>
            </w:pPr>
            <w:r>
              <w:rPr>
                <w:rFonts w:ascii="Arial" w:cs="Arial" w:eastAsia="Arial" w:hAnsi="Arial"/>
                <w:sz w:val="14"/>
                <w:szCs w:val="14"/>
                <w:color w:val="auto"/>
              </w:rPr>
              <w:t>(34,399)</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320" w:type="dxa"/>
            <w:vAlign w:val="bottom"/>
            <w:shd w:val="clear" w:color="auto" w:fill="D8D8D8"/>
          </w:tcPr>
          <w:p>
            <w:pPr>
              <w:ind w:left="40"/>
              <w:spacing w:after="0"/>
              <w:rPr>
                <w:sz w:val="20"/>
                <w:szCs w:val="20"/>
                <w:color w:val="auto"/>
              </w:rPr>
            </w:pPr>
            <w:r>
              <w:rPr>
                <w:rFonts w:ascii="Arial" w:cs="Arial" w:eastAsia="Arial" w:hAnsi="Arial"/>
                <w:sz w:val="14"/>
                <w:szCs w:val="14"/>
                <w:color w:val="auto"/>
              </w:rPr>
              <w:t>​Prior Year Awards that Failed to Vest in 2024</w:t>
            </w:r>
          </w:p>
        </w:tc>
        <w:tc>
          <w:tcPr>
            <w:tcW w:w="1980" w:type="dxa"/>
            <w:vAlign w:val="bottom"/>
            <w:shd w:val="clear" w:color="auto" w:fill="D8D8D8"/>
          </w:tcPr>
          <w:p>
            <w:pPr>
              <w:ind w:left="1800"/>
              <w:spacing w:after="0"/>
              <w:rPr>
                <w:sz w:val="20"/>
                <w:szCs w:val="20"/>
                <w:color w:val="auto"/>
              </w:rPr>
            </w:pPr>
            <w:r>
              <w:rPr>
                <w:rFonts w:ascii="Arial" w:cs="Arial" w:eastAsia="Arial" w:hAnsi="Arial"/>
                <w:sz w:val="14"/>
                <w:szCs w:val="14"/>
                <w:color w:val="auto"/>
              </w:rPr>
              <w:t>​ ​</w:t>
            </w:r>
          </w:p>
        </w:tc>
        <w:tc>
          <w:tcPr>
            <w:tcW w:w="6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ind w:left="60"/>
              <w:spacing w:after="0"/>
              <w:rPr>
                <w:sz w:val="20"/>
                <w:szCs w:val="20"/>
                <w:color w:val="auto"/>
              </w:rPr>
            </w:pPr>
            <w:r>
              <w:rPr>
                <w:rFonts w:ascii="Arial" w:cs="Arial" w:eastAsia="Arial" w:hAnsi="Arial"/>
                <w:sz w:val="14"/>
                <w:szCs w:val="14"/>
                <w:color w:val="auto"/>
              </w:rPr>
              <w:t>​ ​</w:t>
            </w:r>
          </w:p>
        </w:tc>
        <w:tc>
          <w:tcPr>
            <w:tcW w:w="7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320" w:type="dxa"/>
            <w:vAlign w:val="bottom"/>
          </w:tcPr>
          <w:p>
            <w:pPr>
              <w:ind w:left="40"/>
              <w:spacing w:after="0"/>
              <w:rPr>
                <w:sz w:val="20"/>
                <w:szCs w:val="20"/>
                <w:color w:val="auto"/>
              </w:rPr>
            </w:pPr>
            <w:r>
              <w:rPr>
                <w:rFonts w:ascii="Arial" w:cs="Arial" w:eastAsia="Arial" w:hAnsi="Arial"/>
                <w:sz w:val="14"/>
                <w:szCs w:val="14"/>
                <w:color w:val="auto"/>
              </w:rPr>
              <w:t>​Dividends or Earnings on Awards Before Vesting</w:t>
            </w:r>
          </w:p>
        </w:tc>
        <w:tc>
          <w:tcPr>
            <w:tcW w:w="1980" w:type="dxa"/>
            <w:vAlign w:val="bottom"/>
          </w:tcPr>
          <w:p>
            <w:pPr>
              <w:ind w:left="1800"/>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53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jc w:val="both"/>
        <w:ind w:left="1060" w:right="20"/>
        <w:spacing w:after="0" w:line="256" w:lineRule="auto"/>
        <w:rPr>
          <w:sz w:val="20"/>
          <w:szCs w:val="20"/>
          <w:color w:val="auto"/>
        </w:rPr>
      </w:pPr>
      <w:r>
        <w:rPr>
          <w:rFonts w:ascii="Arial" w:cs="Arial" w:eastAsia="Arial" w:hAnsi="Arial"/>
          <w:sz w:val="14"/>
          <w:szCs w:val="14"/>
          <w:color w:val="auto"/>
        </w:rPr>
        <w:t>Assumptions used in the calculation of fair values for this table that differed from the assumptions disclosed in the calculation of fair value as of the respective grant dates are: for option valuations as of December 31, 2023, a risk-free rate of 4.49%, volatility of 43.93%, an expected total life of 4.3 years (adjusted down based on time since grant), and the closing stock price on December 31, 2023; for option valuations during 2024, a risk-free rate of 4.36%, volatility of 48.63%, an expected total life of 4.32 years (adjusted down based on time since grant), and the closing stock price on, or in the case of weekend valuation dates immediately prior to, the valuation date; for RSAs, the closing stock price on, or in the case of weekend valuation dates immediately prior to, the valuation date. Assumptions used in the calculation of fair values of options for which vesting was accelerated on April 22, 2024 were a risk-free rate of 5.42%, volatility of 39.91%, an expected total life of 0.25 years, and the closing stock price on April 22, 2024.</w:t>
      </w:r>
    </w:p>
    <w:p>
      <w:pPr>
        <w:spacing w:after="0" w:line="4" w:lineRule="exact"/>
        <w:rPr>
          <w:sz w:val="20"/>
          <w:szCs w:val="20"/>
          <w:color w:val="auto"/>
        </w:rPr>
      </w:pPr>
    </w:p>
    <w:p>
      <w:pPr>
        <w:jc w:val="both"/>
        <w:ind w:left="1060" w:right="20" w:hanging="352"/>
        <w:spacing w:after="0" w:line="277" w:lineRule="auto"/>
        <w:tabs>
          <w:tab w:leader="none" w:pos="1060" w:val="left"/>
        </w:tabs>
        <w:numPr>
          <w:ilvl w:val="0"/>
          <w:numId w:val="25"/>
        </w:numPr>
        <w:rPr>
          <w:rFonts w:ascii="Arial" w:cs="Arial" w:eastAsia="Arial" w:hAnsi="Arial"/>
          <w:sz w:val="14"/>
          <w:szCs w:val="14"/>
          <w:color w:val="395796"/>
        </w:rPr>
      </w:pPr>
      <w:r>
        <w:rPr>
          <w:rFonts w:ascii="Arial" w:cs="Arial" w:eastAsia="Arial" w:hAnsi="Arial"/>
          <w:sz w:val="14"/>
          <w:szCs w:val="14"/>
          <w:color w:val="auto"/>
        </w:rPr>
        <w:t>Represents compensation actually paid for 2023 to Brent C. Bruun, our chief executive officer during 2023, and the average compensation actually paid for 2023 to Robert J. Balog and Roger A. Kuebel, our other named executive officers for 2023. Martin Kits van Heyningen, our former chief executive officer, did not serve as a named executive officer during any portion of 2023. The following table provides the adjustments to total compensation that were made in order to calculate compensation actually paid (excluding the grant-date fair value of equity awards granted in 2023, which is presented separately in the Summary Compensation Table):</w:t>
      </w:r>
    </w:p>
    <w:p>
      <w:pPr>
        <w:spacing w:after="0" w:line="118" w:lineRule="exact"/>
        <w:rPr>
          <w:sz w:val="20"/>
          <w:szCs w:val="20"/>
          <w:color w:val="auto"/>
        </w:rPr>
      </w:pPr>
    </w:p>
    <w:tbl>
      <w:tblPr>
        <w:tblLayout w:type="fixed"/>
        <w:tblInd w:w="1080" w:type="dxa"/>
        <w:tblCellMar>
          <w:top w:w="0" w:type="dxa"/>
          <w:left w:w="0" w:type="dxa"/>
          <w:bottom w:w="0" w:type="dxa"/>
          <w:right w:w="0" w:type="dxa"/>
        </w:tblCellMar>
      </w:tblPr>
      <w:tr>
        <w:trPr>
          <w:trHeight w:val="193"/>
        </w:trPr>
        <w:tc>
          <w:tcPr>
            <w:tcW w:w="560" w:type="dxa"/>
            <w:vAlign w:val="bottom"/>
            <w:shd w:val="clear" w:color="auto" w:fill="395796"/>
          </w:tcPr>
          <w:p>
            <w:pPr>
              <w:spacing w:after="0"/>
              <w:rPr>
                <w:sz w:val="16"/>
                <w:szCs w:val="16"/>
                <w:color w:val="auto"/>
              </w:rPr>
            </w:pPr>
          </w:p>
        </w:tc>
        <w:tc>
          <w:tcPr>
            <w:tcW w:w="4540" w:type="dxa"/>
            <w:vAlign w:val="bottom"/>
            <w:shd w:val="clear" w:color="auto" w:fill="395796"/>
          </w:tcPr>
          <w:p>
            <w:pPr>
              <w:spacing w:after="0"/>
              <w:rPr>
                <w:sz w:val="16"/>
                <w:szCs w:val="16"/>
                <w:color w:val="auto"/>
              </w:rPr>
            </w:pPr>
          </w:p>
        </w:tc>
        <w:tc>
          <w:tcPr>
            <w:tcW w:w="2400" w:type="dxa"/>
            <w:vAlign w:val="bottom"/>
            <w:shd w:val="clear" w:color="auto" w:fill="395796"/>
          </w:tcPr>
          <w:p>
            <w:pPr>
              <w:spacing w:after="0"/>
              <w:rPr>
                <w:sz w:val="16"/>
                <w:szCs w:val="16"/>
                <w:color w:val="auto"/>
              </w:rPr>
            </w:pPr>
          </w:p>
        </w:tc>
        <w:tc>
          <w:tcPr>
            <w:tcW w:w="420" w:type="dxa"/>
            <w:vAlign w:val="bottom"/>
            <w:shd w:val="clear" w:color="auto" w:fill="395796"/>
          </w:tcPr>
          <w:p>
            <w:pPr>
              <w:spacing w:after="0"/>
              <w:rPr>
                <w:sz w:val="16"/>
                <w:szCs w:val="16"/>
                <w:color w:val="auto"/>
              </w:rPr>
            </w:pPr>
          </w:p>
        </w:tc>
        <w:tc>
          <w:tcPr>
            <w:tcW w:w="1000" w:type="dxa"/>
            <w:vAlign w:val="bottom"/>
            <w:gridSpan w:val="2"/>
            <w:shd w:val="clear" w:color="auto" w:fill="395796"/>
          </w:tcPr>
          <w:p>
            <w:pPr>
              <w:jc w:val="right"/>
              <w:ind w:right="8"/>
              <w:spacing w:after="0"/>
              <w:rPr>
                <w:sz w:val="20"/>
                <w:szCs w:val="20"/>
                <w:color w:val="auto"/>
              </w:rPr>
            </w:pPr>
            <w:r>
              <w:rPr>
                <w:rFonts w:ascii="Arial" w:cs="Arial" w:eastAsia="Arial" w:hAnsi="Arial"/>
                <w:sz w:val="14"/>
                <w:szCs w:val="14"/>
                <w:b w:val="1"/>
                <w:bCs w:val="1"/>
                <w:color w:val="FFFFFF"/>
              </w:rPr>
              <w:t>Average for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60" w:type="dxa"/>
            <w:vAlign w:val="bottom"/>
            <w:shd w:val="clear" w:color="auto" w:fill="395796"/>
          </w:tcPr>
          <w:p>
            <w:pPr>
              <w:spacing w:after="0"/>
              <w:rPr>
                <w:sz w:val="14"/>
                <w:szCs w:val="14"/>
                <w:color w:val="auto"/>
              </w:rPr>
            </w:pPr>
          </w:p>
        </w:tc>
        <w:tc>
          <w:tcPr>
            <w:tcW w:w="4540" w:type="dxa"/>
            <w:vAlign w:val="bottom"/>
            <w:shd w:val="clear" w:color="auto" w:fill="395796"/>
          </w:tcPr>
          <w:p>
            <w:pPr>
              <w:spacing w:after="0"/>
              <w:rPr>
                <w:sz w:val="14"/>
                <w:szCs w:val="14"/>
                <w:color w:val="auto"/>
              </w:rPr>
            </w:pPr>
          </w:p>
        </w:tc>
        <w:tc>
          <w:tcPr>
            <w:tcW w:w="2400" w:type="dxa"/>
            <w:vAlign w:val="bottom"/>
            <w:shd w:val="clear" w:color="auto" w:fill="395796"/>
          </w:tcPr>
          <w:p>
            <w:pPr>
              <w:spacing w:after="0"/>
              <w:rPr>
                <w:sz w:val="14"/>
                <w:szCs w:val="14"/>
                <w:color w:val="auto"/>
              </w:rPr>
            </w:pPr>
          </w:p>
        </w:tc>
        <w:tc>
          <w:tcPr>
            <w:tcW w:w="420" w:type="dxa"/>
            <w:vAlign w:val="bottom"/>
            <w:shd w:val="clear" w:color="auto" w:fill="395796"/>
          </w:tcPr>
          <w:p>
            <w:pPr>
              <w:spacing w:after="0"/>
              <w:rPr>
                <w:sz w:val="14"/>
                <w:szCs w:val="14"/>
                <w:color w:val="auto"/>
              </w:rPr>
            </w:pPr>
          </w:p>
        </w:tc>
        <w:tc>
          <w:tcPr>
            <w:tcW w:w="260" w:type="dxa"/>
            <w:vAlign w:val="bottom"/>
            <w:shd w:val="clear" w:color="auto" w:fill="395796"/>
          </w:tcPr>
          <w:p>
            <w:pPr>
              <w:spacing w:after="0"/>
              <w:rPr>
                <w:sz w:val="14"/>
                <w:szCs w:val="14"/>
                <w:color w:val="auto"/>
              </w:rPr>
            </w:pPr>
          </w:p>
        </w:tc>
        <w:tc>
          <w:tcPr>
            <w:tcW w:w="740" w:type="dxa"/>
            <w:vAlign w:val="bottom"/>
            <w:shd w:val="clear" w:color="auto" w:fill="395796"/>
          </w:tcPr>
          <w:p>
            <w:pPr>
              <w:jc w:val="right"/>
              <w:ind w:right="8"/>
              <w:spacing w:after="0"/>
              <w:rPr>
                <w:sz w:val="20"/>
                <w:szCs w:val="20"/>
                <w:color w:val="auto"/>
              </w:rPr>
            </w:pPr>
            <w:r>
              <w:rPr>
                <w:rFonts w:ascii="Arial" w:cs="Arial" w:eastAsia="Arial" w:hAnsi="Arial"/>
                <w:sz w:val="14"/>
                <w:szCs w:val="14"/>
                <w:b w:val="1"/>
                <w:bCs w:val="1"/>
                <w:color w:val="FFFFFF"/>
              </w:rPr>
              <w:t>non-PEO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0" w:type="dxa"/>
            <w:vAlign w:val="bottom"/>
            <w:shd w:val="clear" w:color="auto" w:fill="395796"/>
          </w:tcPr>
          <w:p>
            <w:pPr>
              <w:ind w:left="40"/>
              <w:spacing w:after="0"/>
              <w:rPr>
                <w:sz w:val="20"/>
                <w:szCs w:val="20"/>
                <w:color w:val="auto"/>
              </w:rPr>
            </w:pPr>
            <w:r>
              <w:rPr>
                <w:rFonts w:ascii="Arial" w:cs="Arial" w:eastAsia="Arial" w:hAnsi="Arial"/>
                <w:sz w:val="14"/>
                <w:szCs w:val="14"/>
                <w:b w:val="1"/>
                <w:bCs w:val="1"/>
                <w:color w:val="FFFFFF"/>
                <w:w w:val="97"/>
              </w:rPr>
              <w:t>Change​</w:t>
            </w:r>
          </w:p>
        </w:tc>
        <w:tc>
          <w:tcPr>
            <w:tcW w:w="4540" w:type="dxa"/>
            <w:vAlign w:val="bottom"/>
            <w:shd w:val="clear" w:color="auto" w:fill="395796"/>
          </w:tcPr>
          <w:p>
            <w:pPr>
              <w:ind w:left="20"/>
              <w:spacing w:after="0"/>
              <w:rPr>
                <w:sz w:val="20"/>
                <w:szCs w:val="20"/>
                <w:color w:val="auto"/>
              </w:rPr>
            </w:pPr>
            <w:r>
              <w:rPr>
                <w:rFonts w:ascii="Arial" w:cs="Arial" w:eastAsia="Arial" w:hAnsi="Arial"/>
                <w:sz w:val="14"/>
                <w:szCs w:val="14"/>
                <w:b w:val="1"/>
                <w:bCs w:val="1"/>
                <w:color w:val="FFFFFF"/>
              </w:rPr>
              <w:t>in Fair Value</w:t>
            </w:r>
          </w:p>
        </w:tc>
        <w:tc>
          <w:tcPr>
            <w:tcW w:w="2820" w:type="dxa"/>
            <w:vAlign w:val="bottom"/>
            <w:gridSpan w:val="2"/>
            <w:shd w:val="clear" w:color="auto" w:fill="395796"/>
          </w:tcPr>
          <w:p>
            <w:pPr>
              <w:ind w:left="2020"/>
              <w:spacing w:after="0"/>
              <w:rPr>
                <w:sz w:val="20"/>
                <w:szCs w:val="20"/>
                <w:color w:val="auto"/>
              </w:rPr>
            </w:pPr>
            <w:r>
              <w:rPr>
                <w:rFonts w:ascii="Arial" w:cs="Arial" w:eastAsia="Arial" w:hAnsi="Arial"/>
                <w:sz w:val="14"/>
                <w:szCs w:val="14"/>
                <w:b w:val="1"/>
                <w:bCs w:val="1"/>
                <w:color w:val="FFFFFF"/>
              </w:rPr>
              <w:t>​ ​Mr. Bruun</w:t>
            </w:r>
          </w:p>
        </w:tc>
        <w:tc>
          <w:tcPr>
            <w:tcW w:w="260" w:type="dxa"/>
            <w:vAlign w:val="bottom"/>
            <w:shd w:val="clear" w:color="auto" w:fill="395796"/>
          </w:tcPr>
          <w:p>
            <w:pPr>
              <w:ind w:left="60"/>
              <w:spacing w:after="0"/>
              <w:rPr>
                <w:sz w:val="20"/>
                <w:szCs w:val="20"/>
                <w:color w:val="auto"/>
              </w:rPr>
            </w:pPr>
            <w:r>
              <w:rPr>
                <w:rFonts w:ascii="Arial" w:cs="Arial" w:eastAsia="Arial" w:hAnsi="Arial"/>
                <w:sz w:val="14"/>
                <w:szCs w:val="14"/>
                <w:b w:val="1"/>
                <w:bCs w:val="1"/>
                <w:color w:val="FFFFFF"/>
              </w:rPr>
              <w:t>​ ​</w:t>
            </w:r>
          </w:p>
        </w:tc>
        <w:tc>
          <w:tcPr>
            <w:tcW w:w="74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NEOs</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5100" w:type="dxa"/>
            <w:vAlign w:val="bottom"/>
            <w:gridSpan w:val="2"/>
          </w:tcPr>
          <w:p>
            <w:pPr>
              <w:ind w:left="40"/>
              <w:spacing w:after="0"/>
              <w:rPr>
                <w:sz w:val="20"/>
                <w:szCs w:val="20"/>
                <w:color w:val="auto"/>
              </w:rPr>
            </w:pPr>
            <w:r>
              <w:rPr>
                <w:rFonts w:ascii="Arial" w:cs="Arial" w:eastAsia="Arial" w:hAnsi="Arial"/>
                <w:sz w:val="14"/>
                <w:szCs w:val="14"/>
                <w:color w:val="auto"/>
              </w:rPr>
              <w:t>​Grant Date Fair Value of Equity Awards in 2023</w:t>
            </w:r>
          </w:p>
        </w:tc>
        <w:tc>
          <w:tcPr>
            <w:tcW w:w="2820" w:type="dxa"/>
            <w:vAlign w:val="bottom"/>
            <w:gridSpan w:val="2"/>
          </w:tcPr>
          <w:p>
            <w:pPr>
              <w:jc w:val="right"/>
              <w:spacing w:after="0"/>
              <w:rPr>
                <w:sz w:val="20"/>
                <w:szCs w:val="20"/>
                <w:color w:val="auto"/>
              </w:rPr>
            </w:pPr>
            <w:r>
              <w:rPr>
                <w:rFonts w:ascii="Arial" w:cs="Arial" w:eastAsia="Arial" w:hAnsi="Arial"/>
                <w:sz w:val="14"/>
                <w:szCs w:val="14"/>
                <w:color w:val="auto"/>
              </w:rPr>
              <w:t>​ ​(458,885)</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740" w:type="dxa"/>
            <w:vAlign w:val="bottom"/>
          </w:tcPr>
          <w:p>
            <w:pPr>
              <w:jc w:val="right"/>
              <w:spacing w:after="0"/>
              <w:rPr>
                <w:sz w:val="20"/>
                <w:szCs w:val="20"/>
                <w:color w:val="auto"/>
              </w:rPr>
            </w:pPr>
            <w:r>
              <w:rPr>
                <w:rFonts w:ascii="Arial" w:cs="Arial" w:eastAsia="Arial" w:hAnsi="Arial"/>
                <w:sz w:val="14"/>
                <w:szCs w:val="14"/>
                <w:color w:val="auto"/>
              </w:rPr>
              <w:t>(255,031)</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100" w:type="dxa"/>
            <w:vAlign w:val="bottom"/>
            <w:gridSpan w:val="2"/>
            <w:shd w:val="clear" w:color="auto" w:fill="D8D8D8"/>
          </w:tcPr>
          <w:p>
            <w:pPr>
              <w:ind w:left="40"/>
              <w:spacing w:after="0"/>
              <w:rPr>
                <w:sz w:val="20"/>
                <w:szCs w:val="20"/>
                <w:color w:val="auto"/>
              </w:rPr>
            </w:pPr>
            <w:r>
              <w:rPr>
                <w:rFonts w:ascii="Arial" w:cs="Arial" w:eastAsia="Arial" w:hAnsi="Arial"/>
                <w:sz w:val="14"/>
                <w:szCs w:val="14"/>
                <w:color w:val="auto"/>
              </w:rPr>
              <w:t>​New Grants Unvested at Year-End</w:t>
            </w:r>
          </w:p>
        </w:tc>
        <w:tc>
          <w:tcPr>
            <w:tcW w:w="282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 ​$233,596</w:t>
            </w:r>
          </w:p>
        </w:tc>
        <w:tc>
          <w:tcPr>
            <w:tcW w:w="260" w:type="dxa"/>
            <w:vAlign w:val="bottom"/>
            <w:shd w:val="clear" w:color="auto" w:fill="D8D8D8"/>
          </w:tcPr>
          <w:p>
            <w:pPr>
              <w:ind w:left="60"/>
              <w:spacing w:after="0"/>
              <w:rPr>
                <w:sz w:val="20"/>
                <w:szCs w:val="20"/>
                <w:color w:val="auto"/>
              </w:rPr>
            </w:pPr>
            <w:r>
              <w:rPr>
                <w:rFonts w:ascii="Arial" w:cs="Arial" w:eastAsia="Arial" w:hAnsi="Arial"/>
                <w:sz w:val="14"/>
                <w:szCs w:val="14"/>
                <w:color w:val="auto"/>
              </w:rPr>
              <w:t>​ ​</w:t>
            </w:r>
          </w:p>
        </w:tc>
        <w:tc>
          <w:tcPr>
            <w:tcW w:w="7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$129,824</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100" w:type="dxa"/>
            <w:vAlign w:val="bottom"/>
            <w:gridSpan w:val="2"/>
          </w:tcPr>
          <w:p>
            <w:pPr>
              <w:ind w:left="40"/>
              <w:spacing w:after="0"/>
              <w:rPr>
                <w:sz w:val="20"/>
                <w:szCs w:val="20"/>
                <w:color w:val="auto"/>
              </w:rPr>
            </w:pPr>
            <w:r>
              <w:rPr>
                <w:rFonts w:ascii="Arial" w:cs="Arial" w:eastAsia="Arial" w:hAnsi="Arial"/>
                <w:sz w:val="14"/>
                <w:szCs w:val="14"/>
                <w:color w:val="auto"/>
              </w:rPr>
              <w:t>​Prior Year Awards Unvested at Year-End</w:t>
            </w:r>
          </w:p>
        </w:tc>
        <w:tc>
          <w:tcPr>
            <w:tcW w:w="2820" w:type="dxa"/>
            <w:vAlign w:val="bottom"/>
            <w:gridSpan w:val="2"/>
          </w:tcPr>
          <w:p>
            <w:pPr>
              <w:jc w:val="right"/>
              <w:spacing w:after="0"/>
              <w:rPr>
                <w:sz w:val="20"/>
                <w:szCs w:val="20"/>
                <w:color w:val="auto"/>
              </w:rPr>
            </w:pPr>
            <w:r>
              <w:rPr>
                <w:rFonts w:ascii="Arial" w:cs="Arial" w:eastAsia="Arial" w:hAnsi="Arial"/>
                <w:sz w:val="14"/>
                <w:szCs w:val="14"/>
                <w:color w:val="auto"/>
              </w:rPr>
              <w:t>​ ​(294,664)</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740" w:type="dxa"/>
            <w:vAlign w:val="bottom"/>
          </w:tcPr>
          <w:p>
            <w:pPr>
              <w:jc w:val="right"/>
              <w:spacing w:after="0"/>
              <w:rPr>
                <w:sz w:val="20"/>
                <w:szCs w:val="20"/>
                <w:color w:val="auto"/>
              </w:rPr>
            </w:pPr>
            <w:r>
              <w:rPr>
                <w:rFonts w:ascii="Arial" w:cs="Arial" w:eastAsia="Arial" w:hAnsi="Arial"/>
                <w:sz w:val="14"/>
                <w:szCs w:val="14"/>
                <w:color w:val="auto"/>
              </w:rPr>
              <w:t>(187,549)</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100" w:type="dxa"/>
            <w:vAlign w:val="bottom"/>
            <w:gridSpan w:val="2"/>
            <w:shd w:val="clear" w:color="auto" w:fill="D8D8D8"/>
          </w:tcPr>
          <w:p>
            <w:pPr>
              <w:ind w:left="40"/>
              <w:spacing w:after="0"/>
              <w:rPr>
                <w:sz w:val="20"/>
                <w:szCs w:val="20"/>
                <w:color w:val="auto"/>
              </w:rPr>
            </w:pPr>
            <w:r>
              <w:rPr>
                <w:rFonts w:ascii="Arial" w:cs="Arial" w:eastAsia="Arial" w:hAnsi="Arial"/>
                <w:sz w:val="14"/>
                <w:szCs w:val="14"/>
                <w:color w:val="auto"/>
              </w:rPr>
              <w:t>​New Grants that Vested in 2023</w:t>
            </w:r>
          </w:p>
        </w:tc>
        <w:tc>
          <w:tcPr>
            <w:tcW w:w="2400" w:type="dxa"/>
            <w:vAlign w:val="bottom"/>
            <w:shd w:val="clear" w:color="auto" w:fill="D8D8D8"/>
          </w:tcPr>
          <w:p>
            <w:pPr>
              <w:ind w:left="2020"/>
              <w:spacing w:after="0"/>
              <w:rPr>
                <w:sz w:val="20"/>
                <w:szCs w:val="20"/>
                <w:color w:val="auto"/>
              </w:rPr>
            </w:pPr>
            <w:r>
              <w:rPr>
                <w:rFonts w:ascii="Arial" w:cs="Arial" w:eastAsia="Arial" w:hAnsi="Arial"/>
                <w:sz w:val="14"/>
                <w:szCs w:val="14"/>
                <w:color w:val="auto"/>
              </w:rPr>
              <w:t>​ ​</w:t>
            </w:r>
          </w:p>
        </w:tc>
        <w:tc>
          <w:tcPr>
            <w:tcW w:w="4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ind w:left="60"/>
              <w:spacing w:after="0"/>
              <w:rPr>
                <w:sz w:val="20"/>
                <w:szCs w:val="20"/>
                <w:color w:val="auto"/>
              </w:rPr>
            </w:pPr>
            <w:r>
              <w:rPr>
                <w:rFonts w:ascii="Arial" w:cs="Arial" w:eastAsia="Arial" w:hAnsi="Arial"/>
                <w:sz w:val="14"/>
                <w:szCs w:val="14"/>
                <w:color w:val="auto"/>
              </w:rPr>
              <w:t>​ ​</w:t>
            </w:r>
          </w:p>
        </w:tc>
        <w:tc>
          <w:tcPr>
            <w:tcW w:w="7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100" w:type="dxa"/>
            <w:vAlign w:val="bottom"/>
            <w:gridSpan w:val="2"/>
          </w:tcPr>
          <w:p>
            <w:pPr>
              <w:ind w:left="40"/>
              <w:spacing w:after="0"/>
              <w:rPr>
                <w:sz w:val="20"/>
                <w:szCs w:val="20"/>
                <w:color w:val="auto"/>
              </w:rPr>
            </w:pPr>
            <w:r>
              <w:rPr>
                <w:rFonts w:ascii="Arial" w:cs="Arial" w:eastAsia="Arial" w:hAnsi="Arial"/>
                <w:sz w:val="14"/>
                <w:szCs w:val="14"/>
                <w:color w:val="auto"/>
              </w:rPr>
              <w:t>​Prior Year Awards that Vested in 2023</w:t>
            </w:r>
          </w:p>
        </w:tc>
        <w:tc>
          <w:tcPr>
            <w:tcW w:w="2400" w:type="dxa"/>
            <w:vAlign w:val="bottom"/>
          </w:tcPr>
          <w:p>
            <w:pPr>
              <w:ind w:left="2020"/>
              <w:spacing w:after="0"/>
              <w:rPr>
                <w:sz w:val="20"/>
                <w:szCs w:val="20"/>
                <w:color w:val="auto"/>
              </w:rPr>
            </w:pPr>
            <w:r>
              <w:rPr>
                <w:rFonts w:ascii="Arial" w:cs="Arial" w:eastAsia="Arial" w:hAnsi="Arial"/>
                <w:sz w:val="14"/>
                <w:szCs w:val="14"/>
                <w:color w:val="auto"/>
              </w:rPr>
              <w:t>​ ​</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ind w:left="60"/>
              <w:spacing w:after="0"/>
              <w:rPr>
                <w:sz w:val="20"/>
                <w:szCs w:val="20"/>
                <w:color w:val="auto"/>
              </w:rPr>
            </w:pPr>
            <w:r>
              <w:rPr>
                <w:rFonts w:ascii="Arial" w:cs="Arial" w:eastAsia="Arial" w:hAnsi="Arial"/>
                <w:sz w:val="14"/>
                <w:szCs w:val="14"/>
                <w:color w:val="auto"/>
              </w:rPr>
              <w:t>​ ​</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3"/>
        </w:trPr>
        <w:tc>
          <w:tcPr>
            <w:tcW w:w="5100" w:type="dxa"/>
            <w:vAlign w:val="bottom"/>
            <w:gridSpan w:val="2"/>
            <w:shd w:val="clear" w:color="auto" w:fill="D8D8D8"/>
          </w:tcPr>
          <w:p>
            <w:pPr>
              <w:ind w:left="40"/>
              <w:spacing w:after="0"/>
              <w:rPr>
                <w:sz w:val="20"/>
                <w:szCs w:val="20"/>
                <w:color w:val="auto"/>
              </w:rPr>
            </w:pPr>
            <w:r>
              <w:rPr>
                <w:rFonts w:ascii="Arial" w:cs="Arial" w:eastAsia="Arial" w:hAnsi="Arial"/>
                <w:sz w:val="14"/>
                <w:szCs w:val="14"/>
                <w:color w:val="auto"/>
              </w:rPr>
              <w:t>​Prior Year Awards that Failed to Vest in 2023</w:t>
            </w:r>
          </w:p>
        </w:tc>
        <w:tc>
          <w:tcPr>
            <w:tcW w:w="2400" w:type="dxa"/>
            <w:vAlign w:val="bottom"/>
            <w:shd w:val="clear" w:color="auto" w:fill="D8D8D8"/>
          </w:tcPr>
          <w:p>
            <w:pPr>
              <w:ind w:left="2020"/>
              <w:spacing w:after="0"/>
              <w:rPr>
                <w:sz w:val="20"/>
                <w:szCs w:val="20"/>
                <w:color w:val="auto"/>
              </w:rPr>
            </w:pPr>
            <w:r>
              <w:rPr>
                <w:rFonts w:ascii="Arial" w:cs="Arial" w:eastAsia="Arial" w:hAnsi="Arial"/>
                <w:sz w:val="14"/>
                <w:szCs w:val="14"/>
                <w:color w:val="auto"/>
              </w:rPr>
              <w:t>​ ​</w:t>
            </w:r>
          </w:p>
        </w:tc>
        <w:tc>
          <w:tcPr>
            <w:tcW w:w="4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ind w:left="60"/>
              <w:spacing w:after="0"/>
              <w:rPr>
                <w:sz w:val="20"/>
                <w:szCs w:val="20"/>
                <w:color w:val="auto"/>
              </w:rPr>
            </w:pPr>
            <w:r>
              <w:rPr>
                <w:rFonts w:ascii="Arial" w:cs="Arial" w:eastAsia="Arial" w:hAnsi="Arial"/>
                <w:sz w:val="14"/>
                <w:szCs w:val="14"/>
                <w:color w:val="auto"/>
              </w:rPr>
              <w:t>​ ​</w:t>
            </w:r>
          </w:p>
        </w:tc>
        <w:tc>
          <w:tcPr>
            <w:tcW w:w="7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100" w:type="dxa"/>
            <w:vAlign w:val="bottom"/>
            <w:gridSpan w:val="2"/>
          </w:tcPr>
          <w:p>
            <w:pPr>
              <w:ind w:left="40"/>
              <w:spacing w:after="0"/>
              <w:rPr>
                <w:sz w:val="20"/>
                <w:szCs w:val="20"/>
                <w:color w:val="auto"/>
              </w:rPr>
            </w:pPr>
            <w:r>
              <w:rPr>
                <w:rFonts w:ascii="Arial" w:cs="Arial" w:eastAsia="Arial" w:hAnsi="Arial"/>
                <w:sz w:val="14"/>
                <w:szCs w:val="14"/>
                <w:color w:val="auto"/>
              </w:rPr>
              <w:t>Dividends or Earnings on Awards Before Vesting</w:t>
            </w:r>
          </w:p>
        </w:tc>
        <w:tc>
          <w:tcPr>
            <w:tcW w:w="2400" w:type="dxa"/>
            <w:vAlign w:val="bottom"/>
            <w:vMerge w:val="restart"/>
          </w:tcPr>
          <w:p>
            <w:pPr>
              <w:ind w:left="2020"/>
              <w:spacing w:after="0"/>
              <w:rPr>
                <w:sz w:val="20"/>
                <w:szCs w:val="20"/>
                <w:color w:val="auto"/>
              </w:rPr>
            </w:pPr>
            <w:r>
              <w:rPr>
                <w:rFonts w:ascii="Arial" w:cs="Arial" w:eastAsia="Arial" w:hAnsi="Arial"/>
                <w:sz w:val="14"/>
                <w:szCs w:val="14"/>
                <w:color w:val="auto"/>
              </w:rPr>
              <w:t>​ ​</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560" w:type="dxa"/>
            <w:vAlign w:val="bottom"/>
            <w:tcBorders>
              <w:bottom w:val="single" w:sz="8" w:color="auto"/>
            </w:tcBorders>
          </w:tcPr>
          <w:p>
            <w:pPr>
              <w:ind w:left="40"/>
              <w:spacing w:after="0" w:line="95" w:lineRule="exact"/>
              <w:rPr>
                <w:sz w:val="20"/>
                <w:szCs w:val="20"/>
                <w:color w:val="auto"/>
              </w:rPr>
            </w:pPr>
            <w:r>
              <w:rPr>
                <w:rFonts w:ascii="Arial" w:cs="Arial" w:eastAsia="Arial" w:hAnsi="Arial"/>
                <w:sz w:val="10"/>
                <w:szCs w:val="10"/>
                <w:color w:val="auto"/>
              </w:rPr>
              <w:t>​</w:t>
            </w:r>
          </w:p>
        </w:tc>
        <w:tc>
          <w:tcPr>
            <w:tcW w:w="454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vMerge w:val="continue"/>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jc w:val="both"/>
        <w:ind w:left="1060" w:right="20"/>
        <w:spacing w:after="0" w:line="266" w:lineRule="auto"/>
        <w:rPr>
          <w:sz w:val="20"/>
          <w:szCs w:val="20"/>
          <w:color w:val="auto"/>
        </w:rPr>
      </w:pPr>
      <w:r>
        <w:rPr>
          <w:rFonts w:ascii="Arial" w:cs="Arial" w:eastAsia="Arial" w:hAnsi="Arial"/>
          <w:sz w:val="14"/>
          <w:szCs w:val="14"/>
          <w:color w:val="auto"/>
        </w:rPr>
        <w:t>Assumptions used in the calculation of fair values for this table that differed from the assumptions disclosed in the calculation of fair value as of the respective grant dates are: for option valuations as of December 31, 2022, a risk-free rate of 3.02%, volatility of 43.19%, an expected total life of 4.24 years (adjusted down based on time since grant), and the closing stock price on December 31, 2022; for option valuations during 2023, a risk-free rate of 4.49%, volatility of 43.93%, an expected total life of 4.3 years (adjusted down based on time since grant), and the closing stock price on, or in the case of weekend valuation dates immediately prior to, the valuation date; for RSAs, the closing stock price on, or in the case of weekend valuation dates immediately prior to, the valuation date.</w:t>
      </w:r>
    </w:p>
    <w:p>
      <w:pPr>
        <w:sectPr>
          <w:pgSz w:w="11900" w:h="16838" w:orient="portrait"/>
          <w:cols w:equalWidth="0" w:num="1">
            <w:col w:w="10040"/>
          </w:cols>
          <w:pgMar w:left="580" w:top="97" w:right="127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1040" w:hanging="332"/>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40"/>
          </w:cols>
          <w:pgMar w:left="580" w:top="97" w:right="127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17"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395796"/>
        </w:rPr>
        <w:t>COMPENSATION OF DIRECTORS AND EXECUTIVE OFFICERS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395796"/>
        </w:rPr>
        <w:t>Pay Versus Performance Charts</w:t>
      </w:r>
    </w:p>
    <w:p>
      <w:pPr>
        <w:spacing w:after="0" w:line="114" w:lineRule="exact"/>
        <w:rPr>
          <w:sz w:val="20"/>
          <w:szCs w:val="20"/>
          <w:color w:val="auto"/>
        </w:rPr>
      </w:pPr>
    </w:p>
    <w:p>
      <w:pPr>
        <w:jc w:val="both"/>
        <w:ind w:left="700"/>
        <w:spacing w:after="0" w:line="268" w:lineRule="auto"/>
        <w:rPr>
          <w:sz w:val="20"/>
          <w:szCs w:val="20"/>
          <w:color w:val="auto"/>
        </w:rPr>
      </w:pPr>
      <w:r>
        <w:rPr>
          <w:rFonts w:ascii="Arial" w:cs="Arial" w:eastAsia="Arial" w:hAnsi="Arial"/>
          <w:sz w:val="18"/>
          <w:szCs w:val="18"/>
          <w:color w:val="auto"/>
        </w:rPr>
        <w:t>The following charts show, for the periods presented in the foregoing table, the relationship between, on the one hand, the compensation actually paid to each person who served as our chief executive officer during those periods and the average compensation actually paid to our other named executive officers and, on the other hand, each of:</w:t>
      </w:r>
    </w:p>
    <w:p>
      <w:pPr>
        <w:spacing w:after="0" w:line="63" w:lineRule="exact"/>
        <w:rPr>
          <w:sz w:val="20"/>
          <w:szCs w:val="20"/>
          <w:color w:val="auto"/>
        </w:rPr>
      </w:pPr>
    </w:p>
    <w:p>
      <w:pPr>
        <w:ind w:left="1000" w:hanging="292"/>
        <w:spacing w:after="0"/>
        <w:tabs>
          <w:tab w:leader="none" w:pos="1000" w:val="left"/>
        </w:tabs>
        <w:numPr>
          <w:ilvl w:val="0"/>
          <w:numId w:val="27"/>
        </w:numPr>
        <w:rPr>
          <w:rFonts w:ascii="Arial" w:cs="Arial" w:eastAsia="Arial" w:hAnsi="Arial"/>
          <w:sz w:val="17"/>
          <w:szCs w:val="17"/>
          <w:color w:val="395796"/>
        </w:rPr>
      </w:pPr>
      <w:r>
        <w:rPr>
          <w:rFonts w:ascii="Arial" w:cs="Arial" w:eastAsia="Arial" w:hAnsi="Arial"/>
          <w:sz w:val="17"/>
          <w:szCs w:val="17"/>
          <w:color w:val="auto"/>
        </w:rPr>
        <w:t>Our cumulative total shareholder return since December 31, 2022, the last trading day before fiscal year 2023; and</w:t>
      </w:r>
    </w:p>
    <w:p>
      <w:pPr>
        <w:spacing w:after="0" w:line="128" w:lineRule="exact"/>
        <w:rPr>
          <w:rFonts w:ascii="Arial" w:cs="Arial" w:eastAsia="Arial" w:hAnsi="Arial"/>
          <w:sz w:val="17"/>
          <w:szCs w:val="17"/>
          <w:color w:val="395796"/>
        </w:rPr>
      </w:pPr>
    </w:p>
    <w:p>
      <w:pPr>
        <w:ind w:left="1000" w:hanging="292"/>
        <w:spacing w:after="0"/>
        <w:tabs>
          <w:tab w:leader="none" w:pos="1000" w:val="left"/>
        </w:tabs>
        <w:numPr>
          <w:ilvl w:val="0"/>
          <w:numId w:val="27"/>
        </w:numPr>
        <w:rPr>
          <w:rFonts w:ascii="Arial" w:cs="Arial" w:eastAsia="Arial" w:hAnsi="Arial"/>
          <w:sz w:val="18"/>
          <w:szCs w:val="18"/>
          <w:color w:val="395796"/>
        </w:rPr>
      </w:pPr>
      <w:r>
        <w:rPr>
          <w:rFonts w:ascii="Arial" w:cs="Arial" w:eastAsia="Arial" w:hAnsi="Arial"/>
          <w:sz w:val="18"/>
          <w:szCs w:val="18"/>
          <w:color w:val="auto"/>
        </w:rPr>
        <w:t>Our net income (loss) over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231775</wp:posOffset>
            </wp:positionV>
            <wp:extent cx="5426075" cy="17741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26075" cy="1774190"/>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280"/>
        <w:spacing w:after="0"/>
        <w:rPr>
          <w:sz w:val="20"/>
          <w:szCs w:val="20"/>
          <w:color w:val="auto"/>
        </w:rPr>
      </w:pPr>
      <w:r>
        <w:rPr>
          <w:rFonts w:ascii="Arial" w:cs="Arial" w:eastAsia="Arial" w:hAnsi="Arial"/>
          <w:sz w:val="17"/>
          <w:szCs w:val="17"/>
          <w:color w:val="395796"/>
        </w:rPr>
        <w:t xml:space="preserve">KVH Industries, Inc. 2026 Proxy Statement  </w:t>
      </w:r>
      <w:r>
        <w:rPr>
          <w:rFonts w:ascii="Arial" w:cs="Arial" w:eastAsia="Arial" w:hAnsi="Arial"/>
          <w:sz w:val="17"/>
          <w:szCs w:val="17"/>
          <w:color w:val="000000"/>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395796"/>
        </w:rPr>
        <w:t>COMPENSATION OF DIRECTORS AND EXECUTIVE OFFICERS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395796"/>
        </w:rPr>
        <w:t>Executive Agreements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Agreements</w:t>
      </w:r>
    </w:p>
    <w:p>
      <w:pPr>
        <w:spacing w:after="0" w:line="117"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In May 2022, we entered into executive employment agreements with each of Brent C. Bruun, Felise B. Feingold and certain other persons serving as executive officers at that time in order to retain their services and provide them with certain benefits in the event that we terminate the executive’s employment without cause (as defined in the agreement) or the executive terminates his or her employment for good reason (as defined in the agreement) (either such termination, a “Qualifying Termination”), including following a change of control. The terms of the agreements are substantially identical except as to title, salary, target bonus and reporting responsibilities.</w:t>
      </w:r>
    </w:p>
    <w:p>
      <w:pPr>
        <w:spacing w:after="0" w:line="74" w:lineRule="exact"/>
        <w:rPr>
          <w:sz w:val="20"/>
          <w:szCs w:val="20"/>
          <w:color w:val="auto"/>
        </w:rPr>
      </w:pPr>
    </w:p>
    <w:p>
      <w:pPr>
        <w:jc w:val="both"/>
        <w:ind w:left="700"/>
        <w:spacing w:after="0" w:line="256" w:lineRule="auto"/>
        <w:rPr>
          <w:sz w:val="20"/>
          <w:szCs w:val="20"/>
          <w:color w:val="auto"/>
        </w:rPr>
      </w:pPr>
      <w:r>
        <w:rPr>
          <w:rFonts w:ascii="Arial" w:cs="Arial" w:eastAsia="Arial" w:hAnsi="Arial"/>
          <w:sz w:val="18"/>
          <w:szCs w:val="18"/>
          <w:color w:val="auto"/>
        </w:rPr>
        <w:t>The agreements generally confirmed the executives’ then-current compensation arrangements with respect to base salary, target bonus opportunity for 2022, expense reimbursement and participation in employee benefit plans. The agreements contain customary provisions regarding the performance of duties, assignment of inventions, confidentiality and use of information, return of company property, and cooperation in litigation and regulatory matters. The agreements include customary non-competition and non-solicitation covenants. These covenants have a term of twelve months or, if the executive becomes entitled to receive the change in control severance payments and benefits described below, eighteen months.</w:t>
      </w:r>
    </w:p>
    <w:p>
      <w:pPr>
        <w:spacing w:after="0" w:line="75" w:lineRule="exact"/>
        <w:rPr>
          <w:sz w:val="20"/>
          <w:szCs w:val="20"/>
          <w:color w:val="auto"/>
        </w:rPr>
      </w:pPr>
    </w:p>
    <w:p>
      <w:pPr>
        <w:jc w:val="both"/>
        <w:ind w:left="700" w:right="20"/>
        <w:spacing w:after="0" w:line="262" w:lineRule="auto"/>
        <w:rPr>
          <w:sz w:val="20"/>
          <w:szCs w:val="20"/>
          <w:color w:val="auto"/>
        </w:rPr>
      </w:pPr>
      <w:r>
        <w:rPr>
          <w:rFonts w:ascii="Arial" w:cs="Arial" w:eastAsia="Arial" w:hAnsi="Arial"/>
          <w:sz w:val="18"/>
          <w:szCs w:val="18"/>
          <w:color w:val="auto"/>
        </w:rPr>
        <w:t>Upon any termination of employment, the executive will be entitled to receive any salary earned through the date of termination, any cash-based annual incentive award earned but unpaid for a fiscal year ended before the date of termination, reimbursement of unpaid business expenses in accordance with our policies, and any other vested employee benefits.</w:t>
      </w:r>
    </w:p>
    <w:p>
      <w:pPr>
        <w:spacing w:after="0" w:line="68" w:lineRule="exact"/>
        <w:rPr>
          <w:sz w:val="20"/>
          <w:szCs w:val="20"/>
          <w:color w:val="auto"/>
        </w:rPr>
      </w:pPr>
    </w:p>
    <w:p>
      <w:pPr>
        <w:jc w:val="both"/>
        <w:ind w:left="700"/>
        <w:spacing w:after="0" w:line="256" w:lineRule="auto"/>
        <w:rPr>
          <w:sz w:val="20"/>
          <w:szCs w:val="20"/>
          <w:color w:val="auto"/>
        </w:rPr>
      </w:pPr>
      <w:r>
        <w:rPr>
          <w:rFonts w:ascii="Arial" w:cs="Arial" w:eastAsia="Arial" w:hAnsi="Arial"/>
          <w:sz w:val="18"/>
          <w:szCs w:val="18"/>
          <w:color w:val="auto"/>
        </w:rPr>
        <w:t>In addition, in the event of a Qualifying Termination, upon execution and effectiveness of a separation agreement and release of claims within a stated period, (a) the executive will also be entitled to receive twelve months of base salary and a pro rata portion of his or her target bonus opportunity (based upon his or her period of employment during the relevant year), (b) we will accelerate the vesting of the executive’s equity awards that would otherwise have vested in the twelve months after the later of the date of termination or the effective date of the separation agreement and release and (c) we will pay up to twelve months of the monthly employer portion of the executive’s health insurance or the cash equivalent thereof, subject to certain conditions and limitations.</w:t>
      </w:r>
    </w:p>
    <w:p>
      <w:pPr>
        <w:spacing w:after="0" w:line="75" w:lineRule="exact"/>
        <w:rPr>
          <w:sz w:val="20"/>
          <w:szCs w:val="20"/>
          <w:color w:val="auto"/>
        </w:rPr>
      </w:pPr>
    </w:p>
    <w:p>
      <w:pPr>
        <w:jc w:val="both"/>
        <w:ind w:left="700"/>
        <w:spacing w:after="0" w:line="268" w:lineRule="auto"/>
        <w:rPr>
          <w:sz w:val="20"/>
          <w:szCs w:val="20"/>
          <w:color w:val="auto"/>
        </w:rPr>
      </w:pPr>
      <w:r>
        <w:rPr>
          <w:rFonts w:ascii="Arial" w:cs="Arial" w:eastAsia="Arial" w:hAnsi="Arial"/>
          <w:sz w:val="17"/>
          <w:szCs w:val="17"/>
          <w:color w:val="auto"/>
        </w:rPr>
        <w:t>If a Qualifying Termination occurs within the six months before, or within the twelve months after, a change in control (as defined in our then-most recently adopted equity incentive plan), then, in lieu of the severance described in the preceding paragraph, upon execution and effectiveness of a separation agreement and release of claims within a stated period (and, if the date of termination occurs before the change in control, subject to the consummation of the change of control), (a) the executive will be entitled to receive one and one-half times the sum of the executive’s base salary and the executive’s target bonus for the then-current year, (b) the executive will be entitled to receive a pro rata portion of his or her target bonus opportunity (based upon his or her period of employment during the relevant year),</w:t>
      </w:r>
    </w:p>
    <w:p>
      <w:pPr>
        <w:spacing w:after="0" w:line="2" w:lineRule="exact"/>
        <w:rPr>
          <w:sz w:val="20"/>
          <w:szCs w:val="20"/>
          <w:color w:val="auto"/>
        </w:rPr>
      </w:pPr>
    </w:p>
    <w:p>
      <w:pPr>
        <w:jc w:val="both"/>
        <w:ind w:left="700" w:firstLine="8"/>
        <w:spacing w:after="0" w:line="258" w:lineRule="auto"/>
        <w:tabs>
          <w:tab w:leader="none" w:pos="953"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accelerate the vesting of the executive’s equity awards in full and (d) we will pay up to eighteen months of the monthly employer portion of the executive’s health insurance or the cash equivalent thereof, subject to certain conditions and limitations.</w:t>
      </w:r>
    </w:p>
    <w:p>
      <w:pPr>
        <w:spacing w:after="0" w:line="70" w:lineRule="exact"/>
        <w:rPr>
          <w:sz w:val="20"/>
          <w:szCs w:val="20"/>
          <w:color w:val="auto"/>
        </w:rPr>
      </w:pPr>
    </w:p>
    <w:p>
      <w:pPr>
        <w:jc w:val="both"/>
        <w:ind w:left="700"/>
        <w:spacing w:after="0" w:line="268" w:lineRule="auto"/>
        <w:rPr>
          <w:sz w:val="20"/>
          <w:szCs w:val="20"/>
          <w:color w:val="auto"/>
        </w:rPr>
      </w:pPr>
      <w:r>
        <w:rPr>
          <w:rFonts w:ascii="Arial" w:cs="Arial" w:eastAsia="Arial" w:hAnsi="Arial"/>
          <w:sz w:val="18"/>
          <w:szCs w:val="18"/>
          <w:color w:val="auto"/>
        </w:rPr>
        <w:t>The compensation payable under the agreements is subject to possible reduction to the extent that the reduction would result in a higher after-tax payment to the executive. The agreement also includes additional provisions intended to ensure compliance with Section 409A of the Code.</w:t>
      </w:r>
    </w:p>
    <w:p>
      <w:pPr>
        <w:sectPr>
          <w:pgSz w:w="11900" w:h="16838" w:orient="portrait"/>
          <w:cols w:equalWidth="0" w:num="1">
            <w:col w:w="10020"/>
          </w:cols>
          <w:pgMar w:left="580" w:top="9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40" w:hanging="332"/>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1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395796"/>
        </w:rPr>
        <w:t>COMPENSATION OF DIRECTORS AND EXECUTIVE OFFICERS</w:t>
      </w:r>
    </w:p>
    <w:p>
      <w:pPr>
        <w:sectPr>
          <w:pgSz w:w="11900" w:h="16838" w:orient="portrait"/>
          <w:cols w:equalWidth="0" w:num="1">
            <w:col w:w="10020"/>
          </w:cols>
          <w:pgMar w:left="580" w:top="97" w:right="1299" w:bottom="1440" w:gutter="0" w:footer="0" w:header="0"/>
        </w:sectPr>
      </w:pPr>
    </w:p>
    <w:p>
      <w:pPr>
        <w:spacing w:after="0" w:line="169"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395796"/>
        </w:rPr>
        <w:t>Director Compensation</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 Program for 2025</w:t>
      </w:r>
    </w:p>
    <w:p>
      <w:pPr>
        <w:spacing w:after="0" w:line="131"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Our director compensation program for 2025 was designed to provide a majority of the directors’ compensation in the form of equity awards and the remainder of the directors’ compensation in cash in the form of annual retainers and meeting fees.</w:t>
      </w:r>
    </w:p>
    <w:p>
      <w:pPr>
        <w:spacing w:after="0" w:line="71" w:lineRule="exact"/>
        <w:rPr>
          <w:sz w:val="20"/>
          <w:szCs w:val="20"/>
          <w:color w:val="auto"/>
        </w:rPr>
      </w:pPr>
    </w:p>
    <w:p>
      <w:pPr>
        <w:jc w:val="both"/>
        <w:ind w:left="700" w:right="20"/>
        <w:spacing w:after="0" w:line="262" w:lineRule="auto"/>
        <w:rPr>
          <w:sz w:val="20"/>
          <w:szCs w:val="20"/>
          <w:color w:val="auto"/>
        </w:rPr>
      </w:pPr>
      <w:r>
        <w:rPr>
          <w:rFonts w:ascii="Arial" w:cs="Arial" w:eastAsia="Arial" w:hAnsi="Arial"/>
          <w:sz w:val="18"/>
          <w:szCs w:val="18"/>
          <w:color w:val="auto"/>
        </w:rPr>
        <w:t>Directors who were employees did not receive separate compensation for their services as directors. We paid directors serving as employees as set forth in the “Summary Compensation Table For 2025”.</w:t>
      </w:r>
    </w:p>
    <w:p>
      <w:pPr>
        <w:spacing w:after="0" w:line="68" w:lineRule="exact"/>
        <w:rPr>
          <w:sz w:val="20"/>
          <w:szCs w:val="20"/>
          <w:color w:val="auto"/>
        </w:rPr>
      </w:pPr>
    </w:p>
    <w:p>
      <w:pPr>
        <w:jc w:val="both"/>
        <w:ind w:left="700"/>
        <w:spacing w:after="0" w:line="253" w:lineRule="auto"/>
        <w:rPr>
          <w:sz w:val="20"/>
          <w:szCs w:val="20"/>
          <w:color w:val="auto"/>
        </w:rPr>
      </w:pPr>
      <w:r>
        <w:rPr>
          <w:rFonts w:ascii="Arial" w:cs="Arial" w:eastAsia="Arial" w:hAnsi="Arial"/>
          <w:sz w:val="18"/>
          <w:szCs w:val="18"/>
          <w:color w:val="auto"/>
        </w:rPr>
        <w:t>Our director compensation program for 2025 continued the program in place at the end of 2024. Under that program, non-employee directors receive an annual cash retainer of $26,250 as well as $2,625 for each regularly scheduled quarterly board meeting that they attend. In addition, non-employee directors receive an annual restricted stock award having a fair market value of $75,000 on the date of grant. In addition, directors serving in the capacities indicated in the following table receive additional annual restricted stock awards having a fair market value in the amount indicated in the following table for each such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89535</wp:posOffset>
            </wp:positionV>
            <wp:extent cx="2880360" cy="4457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8036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All of these awards vest in four equal quarterly installments and vest in full on the earlier of the first anniversary of the date of grant or the date of the next annual meeting of stockholders. Directors who are newly appointed to any of these positions receive a pro rata award based on their period of service in that position.</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all outstanding equity awards held by non-employee directors vest in full immediately prior to the consummation of a change in control (as defined in our Amended and Restated 2016 Equity and Incentive Plan (the “2016 Plan”) at the time of such change in control).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11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April 2022, the compensation committee adopted stock ownership guidelines for non-employee directors, which became effective on June 8, 2022. Under these guidelines, each non-employee director must own fully vested shares having a fair market value of at least three times the director’s annual cash retainer by the later of the fifth anniversary of the date of adoption of the guidelines or the fifth anniversary of the date of the non-employee director’s initial appointment to the board.</w:t>
      </w:r>
    </w:p>
    <w:p>
      <w:pPr>
        <w:spacing w:after="0" w:line="1" w:lineRule="exact"/>
        <w:rPr>
          <w:sz w:val="20"/>
          <w:szCs w:val="20"/>
          <w:color w:val="auto"/>
        </w:rPr>
      </w:pPr>
    </w:p>
    <w:p>
      <w:pPr>
        <w:sectPr>
          <w:pgSz w:w="11900" w:h="16838" w:orient="portrait"/>
          <w:cols w:equalWidth="0" w:num="2">
            <w:col w:w="5260" w:space="200"/>
            <w:col w:w="4560"/>
          </w:cols>
          <w:pgMar w:left="580" w:top="97" w:right="1299" w:bottom="1440" w:gutter="0" w:footer="0" w:header="0"/>
          <w:type w:val="continuous"/>
        </w:sectPr>
      </w:pPr>
    </w:p>
    <w:p>
      <w:pPr>
        <w:spacing w:after="0" w:line="309" w:lineRule="exact"/>
        <w:rPr>
          <w:sz w:val="20"/>
          <w:szCs w:val="20"/>
          <w:color w:val="auto"/>
        </w:rPr>
      </w:pPr>
    </w:p>
    <w:p>
      <w:pPr>
        <w:ind w:left="70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Position</w:t>
      </w:r>
    </w:p>
    <w:p>
      <w:pPr>
        <w:spacing w:after="0" w:line="47" w:lineRule="exact"/>
        <w:rPr>
          <w:sz w:val="20"/>
          <w:szCs w:val="20"/>
          <w:color w:val="auto"/>
        </w:rPr>
      </w:pPr>
    </w:p>
    <w:p>
      <w:pPr>
        <w:ind w:left="760" w:right="120" w:hanging="53"/>
        <w:spacing w:after="0" w:line="270" w:lineRule="auto"/>
        <w:rPr>
          <w:sz w:val="20"/>
          <w:szCs w:val="20"/>
          <w:color w:val="auto"/>
        </w:rPr>
      </w:pPr>
      <w:r>
        <w:rPr>
          <w:rFonts w:ascii="Arial" w:cs="Arial" w:eastAsia="Arial" w:hAnsi="Arial"/>
          <w:sz w:val="16"/>
          <w:szCs w:val="16"/>
          <w:color w:val="auto"/>
        </w:rPr>
        <w:t>​Non-Employee Chair of the Board or Lead Independent Director</w:t>
      </w:r>
    </w:p>
    <w:p>
      <w:pPr>
        <w:ind w:left="760" w:hanging="52"/>
        <w:spacing w:after="0" w:line="185" w:lineRule="auto"/>
        <w:tabs>
          <w:tab w:leader="none" w:pos="760" w:val="left"/>
        </w:tabs>
        <w:numPr>
          <w:ilvl w:val="0"/>
          <w:numId w:val="30"/>
        </w:numPr>
        <w:rPr>
          <w:rFonts w:ascii="Arial" w:cs="Arial" w:eastAsia="Arial" w:hAnsi="Arial"/>
          <w:sz w:val="29"/>
          <w:szCs w:val="29"/>
          <w:color w:val="auto"/>
          <w:vertAlign w:val="superscript"/>
        </w:rPr>
      </w:pPr>
      <w:r>
        <w:rPr>
          <w:rFonts w:ascii="Arial" w:cs="Arial" w:eastAsia="Arial" w:hAnsi="Arial"/>
          <w:sz w:val="15"/>
          <w:szCs w:val="15"/>
          <w:color w:val="auto"/>
        </w:rPr>
        <w:t>Audit Committee Chair</w:t>
      </w:r>
    </w:p>
    <w:p>
      <w:pPr>
        <w:spacing w:after="0" w:line="44" w:lineRule="exact"/>
        <w:rPr>
          <w:rFonts w:ascii="Arial" w:cs="Arial" w:eastAsia="Arial" w:hAnsi="Arial"/>
          <w:sz w:val="29"/>
          <w:szCs w:val="29"/>
          <w:color w:val="auto"/>
          <w:vertAlign w:val="superscript"/>
        </w:rPr>
      </w:pPr>
    </w:p>
    <w:p>
      <w:pPr>
        <w:ind w:left="760" w:hanging="52"/>
        <w:spacing w:after="0" w:line="180" w:lineRule="auto"/>
        <w:tabs>
          <w:tab w:leader="none" w:pos="760" w:val="left"/>
        </w:tabs>
        <w:numPr>
          <w:ilvl w:val="0"/>
          <w:numId w:val="30"/>
        </w:numPr>
        <w:rPr>
          <w:rFonts w:ascii="Arial" w:cs="Arial" w:eastAsia="Arial" w:hAnsi="Arial"/>
          <w:sz w:val="23"/>
          <w:szCs w:val="23"/>
          <w:color w:val="auto"/>
          <w:vertAlign w:val="superscript"/>
        </w:rPr>
      </w:pPr>
      <w:r>
        <w:rPr>
          <w:rFonts w:ascii="Arial" w:cs="Arial" w:eastAsia="Arial" w:hAnsi="Arial"/>
          <w:sz w:val="13"/>
          <w:szCs w:val="13"/>
          <w:color w:val="auto"/>
        </w:rPr>
        <w:t>Audit Committee Member (other than Chair)</w:t>
      </w:r>
    </w:p>
    <w:p>
      <w:pPr>
        <w:spacing w:after="0" w:line="44" w:lineRule="exact"/>
        <w:rPr>
          <w:rFonts w:ascii="Arial" w:cs="Arial" w:eastAsia="Arial" w:hAnsi="Arial"/>
          <w:sz w:val="23"/>
          <w:szCs w:val="23"/>
          <w:color w:val="auto"/>
          <w:vertAlign w:val="superscript"/>
        </w:rPr>
      </w:pPr>
    </w:p>
    <w:p>
      <w:pPr>
        <w:ind w:left="760" w:hanging="52"/>
        <w:spacing w:after="0" w:line="180" w:lineRule="auto"/>
        <w:tabs>
          <w:tab w:leader="none" w:pos="760" w:val="left"/>
        </w:tabs>
        <w:numPr>
          <w:ilvl w:val="0"/>
          <w:numId w:val="30"/>
        </w:numPr>
        <w:rPr>
          <w:rFonts w:ascii="Arial" w:cs="Arial" w:eastAsia="Arial" w:hAnsi="Arial"/>
          <w:sz w:val="23"/>
          <w:szCs w:val="23"/>
          <w:color w:val="auto"/>
          <w:vertAlign w:val="superscript"/>
        </w:rPr>
      </w:pPr>
      <w:r>
        <w:rPr>
          <w:rFonts w:ascii="Arial" w:cs="Arial" w:eastAsia="Arial" w:hAnsi="Arial"/>
          <w:sz w:val="13"/>
          <w:szCs w:val="13"/>
          <w:color w:val="auto"/>
        </w:rPr>
        <w:t>Compensation Committee Chair</w:t>
      </w:r>
    </w:p>
    <w:p>
      <w:pPr>
        <w:spacing w:after="0" w:line="31" w:lineRule="exact"/>
        <w:rPr>
          <w:rFonts w:ascii="Arial" w:cs="Arial" w:eastAsia="Arial" w:hAnsi="Arial"/>
          <w:sz w:val="23"/>
          <w:szCs w:val="23"/>
          <w:color w:val="auto"/>
          <w:vertAlign w:val="superscript"/>
        </w:rPr>
      </w:pPr>
    </w:p>
    <w:p>
      <w:pPr>
        <w:ind w:left="760" w:right="160" w:hanging="52"/>
        <w:spacing w:after="0" w:line="253"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Compensation Committee Member (other than Chair)</w:t>
      </w:r>
    </w:p>
    <w:p>
      <w:pPr>
        <w:spacing w:after="0" w:line="28" w:lineRule="exact"/>
        <w:rPr>
          <w:rFonts w:ascii="Arial" w:cs="Arial" w:eastAsia="Arial" w:hAnsi="Arial"/>
          <w:sz w:val="16"/>
          <w:szCs w:val="16"/>
          <w:color w:val="auto"/>
        </w:rPr>
      </w:pPr>
    </w:p>
    <w:p>
      <w:pPr>
        <w:ind w:left="760" w:right="300" w:hanging="52"/>
        <w:spacing w:after="0" w:line="264"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Nominating and Corporate Governance Committee Chair</w:t>
      </w:r>
    </w:p>
    <w:p>
      <w:pPr>
        <w:spacing w:after="0" w:line="27" w:lineRule="exact"/>
        <w:rPr>
          <w:rFonts w:ascii="Arial" w:cs="Arial" w:eastAsia="Arial" w:hAnsi="Arial"/>
          <w:sz w:val="16"/>
          <w:szCs w:val="16"/>
          <w:color w:val="auto"/>
        </w:rPr>
      </w:pPr>
    </w:p>
    <w:p>
      <w:pPr>
        <w:ind w:left="760" w:right="300" w:hanging="52"/>
        <w:spacing w:after="0" w:line="321" w:lineRule="auto"/>
        <w:tabs>
          <w:tab w:leader="none" w:pos="7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Nominating and Corporate Governance Committee Member (other than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-635</wp:posOffset>
            </wp:positionV>
            <wp:extent cx="28803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80" w:type="dxa"/>
            <w:vAlign w:val="bottom"/>
          </w:tcPr>
          <w:p>
            <w:pPr>
              <w:spacing w:after="0"/>
              <w:rPr>
                <w:sz w:val="13"/>
                <w:szCs w:val="13"/>
                <w:color w:val="auto"/>
              </w:rPr>
            </w:pPr>
          </w:p>
        </w:tc>
        <w:tc>
          <w:tcPr>
            <w:tcW w:w="1060" w:type="dxa"/>
            <w:vAlign w:val="bottom"/>
          </w:tcPr>
          <w:p>
            <w:pPr>
              <w:jc w:val="right"/>
              <w:spacing w:after="0" w:line="154" w:lineRule="exact"/>
              <w:rPr>
                <w:sz w:val="20"/>
                <w:szCs w:val="20"/>
                <w:color w:val="auto"/>
              </w:rPr>
            </w:pPr>
            <w:r>
              <w:rPr>
                <w:rFonts w:ascii="Arial" w:cs="Arial" w:eastAsia="Arial" w:hAnsi="Arial"/>
                <w:sz w:val="14"/>
                <w:szCs w:val="14"/>
                <w:b w:val="1"/>
                <w:bCs w:val="1"/>
                <w:color w:val="FFFFFF"/>
                <w:w w:val="96"/>
              </w:rPr>
              <w:t>Annual Value of</w:t>
            </w:r>
          </w:p>
        </w:tc>
        <w:tc>
          <w:tcPr>
            <w:tcW w:w="60" w:type="dxa"/>
            <w:vAlign w:val="bottom"/>
          </w:tcPr>
          <w:p>
            <w:pPr>
              <w:spacing w:after="0"/>
              <w:rPr>
                <w:sz w:val="13"/>
                <w:szCs w:val="13"/>
                <w:color w:val="auto"/>
              </w:rPr>
            </w:pPr>
          </w:p>
        </w:tc>
      </w:tr>
      <w:tr>
        <w:trPr>
          <w:trHeight w:val="162"/>
        </w:trPr>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FFFFFF"/>
              </w:rPr>
              <w:t>Restricted</w:t>
            </w:r>
          </w:p>
        </w:tc>
        <w:tc>
          <w:tcPr>
            <w:tcW w:w="6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FFFFFF"/>
              </w:rPr>
              <w:t>Stock Awards</w:t>
            </w:r>
          </w:p>
        </w:tc>
        <w:tc>
          <w:tcPr>
            <w:tcW w:w="60" w:type="dxa"/>
            <w:vAlign w:val="bottom"/>
          </w:tcPr>
          <w:p>
            <w:pPr>
              <w:spacing w:after="0"/>
              <w:rPr>
                <w:sz w:val="14"/>
                <w:szCs w:val="14"/>
                <w:color w:val="auto"/>
              </w:rPr>
            </w:pPr>
          </w:p>
        </w:tc>
      </w:tr>
      <w:tr>
        <w:trPr>
          <w:trHeight w:val="184"/>
        </w:trPr>
        <w:tc>
          <w:tcPr>
            <w:tcW w:w="180" w:type="dxa"/>
            <w:vAlign w:val="bottom"/>
          </w:tcPr>
          <w:p>
            <w:pPr>
              <w:spacing w:after="0"/>
              <w:rPr>
                <w:sz w:val="20"/>
                <w:szCs w:val="20"/>
                <w:color w:val="auto"/>
              </w:rPr>
            </w:pPr>
            <w:r>
              <w:rPr>
                <w:rFonts w:ascii="Arial" w:cs="Arial" w:eastAsia="Arial" w:hAnsi="Arial"/>
                <w:sz w:val="14"/>
                <w:szCs w:val="14"/>
                <w:b w:val="1"/>
                <w:bCs w:val="1"/>
                <w:color w:val="FFFFFF"/>
              </w:rPr>
              <w:t>​ ​</w:t>
            </w:r>
          </w:p>
        </w:tc>
        <w:tc>
          <w:tcPr>
            <w:tcW w:w="1120" w:type="dxa"/>
            <w:vAlign w:val="bottom"/>
            <w:gridSpan w:val="2"/>
          </w:tcPr>
          <w:p>
            <w:pPr>
              <w:jc w:val="right"/>
              <w:spacing w:after="0" w:line="184" w:lineRule="exact"/>
              <w:rPr>
                <w:sz w:val="20"/>
                <w:szCs w:val="20"/>
                <w:color w:val="auto"/>
              </w:rPr>
            </w:pPr>
            <w:r>
              <w:rPr>
                <w:rFonts w:ascii="Arial" w:cs="Arial" w:eastAsia="Arial" w:hAnsi="Arial"/>
                <w:sz w:val="12"/>
                <w:szCs w:val="12"/>
                <w:b w:val="1"/>
                <w:bCs w:val="1"/>
                <w:color w:val="FFFFFF"/>
              </w:rPr>
              <w:t>($)</w:t>
            </w:r>
            <w:r>
              <w:rPr>
                <w:rFonts w:ascii="Arial" w:cs="Arial" w:eastAsia="Arial" w:hAnsi="Arial"/>
                <w:sz w:val="21"/>
                <w:szCs w:val="21"/>
                <w:b w:val="1"/>
                <w:bCs w:val="1"/>
                <w:color w:val="FFFFFF"/>
                <w:vertAlign w:val="subscript"/>
              </w:rPr>
              <w:t>​</w:t>
            </w:r>
          </w:p>
        </w:tc>
      </w:tr>
      <w:tr>
        <w:trPr>
          <w:trHeight w:val="242"/>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7,500</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20"/>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18,000</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9,000</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2"/>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5,000</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2"/>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2"/>
        </w:trPr>
        <w:tc>
          <w:tcPr>
            <w:tcW w:w="180" w:type="dxa"/>
            <w:vAlign w:val="bottom"/>
          </w:tcPr>
          <w:p>
            <w:pPr>
              <w:spacing w:after="0"/>
              <w:rPr>
                <w:sz w:val="20"/>
                <w:szCs w:val="20"/>
                <w:color w:val="auto"/>
              </w:rPr>
            </w:pPr>
            <w:r>
              <w:rPr>
                <w:rFonts w:ascii="Arial" w:cs="Arial" w:eastAsia="Arial" w:hAnsi="Arial"/>
                <w:sz w:val="16"/>
                <w:szCs w:val="16"/>
                <w:color w:val="auto"/>
              </w:rPr>
              <w:t>​ ​</w:t>
            </w:r>
          </w:p>
        </w:tc>
        <w:tc>
          <w:tcPr>
            <w:tcW w:w="1060" w:type="dxa"/>
            <w:vAlign w:val="bottom"/>
          </w:tcPr>
          <w:p>
            <w:pPr>
              <w:jc w:val="right"/>
              <w:spacing w:after="0"/>
              <w:rPr>
                <w:sz w:val="20"/>
                <w:szCs w:val="20"/>
                <w:color w:val="auto"/>
              </w:rPr>
            </w:pPr>
            <w:r>
              <w:rPr>
                <w:rFonts w:ascii="Arial" w:cs="Arial" w:eastAsia="Arial" w:hAnsi="Arial"/>
                <w:sz w:val="16"/>
                <w:szCs w:val="16"/>
                <w:color w:val="auto"/>
              </w:rPr>
              <w:t>5,000</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446" w:lineRule="exact"/>
        <w:rPr>
          <w:sz w:val="20"/>
          <w:szCs w:val="20"/>
          <w:color w:val="auto"/>
        </w:rPr>
      </w:pPr>
    </w:p>
    <w:p>
      <w:pPr>
        <w:sectPr>
          <w:pgSz w:w="11900" w:h="16838" w:orient="portrait"/>
          <w:cols w:equalWidth="0" w:num="2">
            <w:col w:w="3840" w:space="100"/>
            <w:col w:w="608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280"/>
        <w:spacing w:after="0"/>
        <w:rPr>
          <w:sz w:val="20"/>
          <w:szCs w:val="20"/>
          <w:color w:val="auto"/>
        </w:rPr>
      </w:pPr>
      <w:r>
        <w:rPr>
          <w:rFonts w:ascii="Arial" w:cs="Arial" w:eastAsia="Arial" w:hAnsi="Arial"/>
          <w:sz w:val="17"/>
          <w:szCs w:val="17"/>
          <w:color w:val="395796"/>
        </w:rPr>
        <w:t xml:space="preserve">KVH Industries, Inc. 2026 Proxy Statement  </w:t>
      </w:r>
      <w:r>
        <w:rPr>
          <w:rFonts w:ascii="Arial" w:cs="Arial" w:eastAsia="Arial" w:hAnsi="Arial"/>
          <w:sz w:val="17"/>
          <w:szCs w:val="17"/>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395796"/>
        </w:rPr>
        <w:t>COMPENSATION OF DIRECTORS AND EXECUTIVE OFFICERS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395796"/>
        </w:rPr>
        <w:t>Director Compensation Table for 2025</w:t>
      </w:r>
    </w:p>
    <w:p>
      <w:pPr>
        <w:spacing w:after="0" w:line="114" w:lineRule="exact"/>
        <w:rPr>
          <w:sz w:val="20"/>
          <w:szCs w:val="20"/>
          <w:color w:val="auto"/>
        </w:rPr>
      </w:pPr>
    </w:p>
    <w:p>
      <w:pPr>
        <w:ind w:left="700" w:right="60"/>
        <w:spacing w:after="0" w:line="287" w:lineRule="auto"/>
        <w:rPr>
          <w:sz w:val="20"/>
          <w:szCs w:val="20"/>
          <w:color w:val="auto"/>
        </w:rPr>
      </w:pPr>
      <w:r>
        <w:rPr>
          <w:rFonts w:ascii="Arial" w:cs="Arial" w:eastAsia="Arial" w:hAnsi="Arial"/>
          <w:sz w:val="18"/>
          <w:szCs w:val="18"/>
          <w:color w:val="auto"/>
        </w:rPr>
        <w:t>The following table provides information regarding the compensation of our directors who were not named executive officers for 2025.</w:t>
      </w:r>
    </w:p>
    <w:p>
      <w:pPr>
        <w:spacing w:after="0" w:line="104"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3880" w:type="dxa"/>
            <w:vAlign w:val="bottom"/>
            <w:shd w:val="clear" w:color="auto" w:fill="395796"/>
          </w:tcPr>
          <w:p>
            <w:pPr>
              <w:spacing w:after="0"/>
              <w:rPr>
                <w:sz w:val="16"/>
                <w:szCs w:val="16"/>
                <w:color w:val="auto"/>
              </w:rPr>
            </w:pPr>
          </w:p>
        </w:tc>
        <w:tc>
          <w:tcPr>
            <w:tcW w:w="2280" w:type="dxa"/>
            <w:vAlign w:val="bottom"/>
            <w:shd w:val="clear" w:color="auto" w:fill="395796"/>
          </w:tcPr>
          <w:p>
            <w:pPr>
              <w:spacing w:after="0"/>
              <w:rPr>
                <w:sz w:val="16"/>
                <w:szCs w:val="16"/>
                <w:color w:val="auto"/>
              </w:rPr>
            </w:pPr>
          </w:p>
        </w:tc>
        <w:tc>
          <w:tcPr>
            <w:tcW w:w="1040" w:type="dxa"/>
            <w:vAlign w:val="bottom"/>
            <w:gridSpan w:val="2"/>
            <w:shd w:val="clear" w:color="auto" w:fill="395796"/>
          </w:tcPr>
          <w:p>
            <w:pPr>
              <w:jc w:val="right"/>
              <w:ind w:right="55"/>
              <w:spacing w:after="0"/>
              <w:rPr>
                <w:sz w:val="20"/>
                <w:szCs w:val="20"/>
                <w:color w:val="auto"/>
              </w:rPr>
            </w:pPr>
            <w:r>
              <w:rPr>
                <w:rFonts w:ascii="Arial" w:cs="Arial" w:eastAsia="Arial" w:hAnsi="Arial"/>
                <w:sz w:val="14"/>
                <w:szCs w:val="14"/>
                <w:b w:val="1"/>
                <w:bCs w:val="1"/>
                <w:color w:val="FFFFFF"/>
              </w:rPr>
              <w:t>Fees Earned</w:t>
            </w:r>
          </w:p>
        </w:tc>
        <w:tc>
          <w:tcPr>
            <w:tcW w:w="240" w:type="dxa"/>
            <w:vAlign w:val="bottom"/>
            <w:shd w:val="clear" w:color="auto" w:fill="395796"/>
          </w:tcPr>
          <w:p>
            <w:pPr>
              <w:spacing w:after="0"/>
              <w:rPr>
                <w:sz w:val="16"/>
                <w:szCs w:val="16"/>
                <w:color w:val="auto"/>
              </w:rPr>
            </w:pPr>
          </w:p>
        </w:tc>
        <w:tc>
          <w:tcPr>
            <w:tcW w:w="160" w:type="dxa"/>
            <w:vAlign w:val="bottom"/>
            <w:shd w:val="clear" w:color="auto" w:fill="395796"/>
          </w:tcPr>
          <w:p>
            <w:pPr>
              <w:spacing w:after="0"/>
              <w:rPr>
                <w:sz w:val="16"/>
                <w:szCs w:val="16"/>
                <w:color w:val="auto"/>
              </w:rPr>
            </w:pPr>
          </w:p>
        </w:tc>
        <w:tc>
          <w:tcPr>
            <w:tcW w:w="680" w:type="dxa"/>
            <w:vAlign w:val="bottom"/>
            <w:shd w:val="clear" w:color="auto" w:fill="395796"/>
          </w:tcPr>
          <w:p>
            <w:pPr>
              <w:jc w:val="right"/>
              <w:ind w:right="59"/>
              <w:spacing w:after="0"/>
              <w:rPr>
                <w:sz w:val="20"/>
                <w:szCs w:val="20"/>
                <w:color w:val="auto"/>
              </w:rPr>
            </w:pPr>
            <w:r>
              <w:rPr>
                <w:rFonts w:ascii="Arial" w:cs="Arial" w:eastAsia="Arial" w:hAnsi="Arial"/>
                <w:sz w:val="14"/>
                <w:szCs w:val="14"/>
                <w:b w:val="1"/>
                <w:bCs w:val="1"/>
                <w:color w:val="FFFFFF"/>
              </w:rPr>
              <w:t>Stock</w:t>
            </w:r>
          </w:p>
        </w:tc>
        <w:tc>
          <w:tcPr>
            <w:tcW w:w="240" w:type="dxa"/>
            <w:vAlign w:val="bottom"/>
            <w:shd w:val="clear" w:color="auto" w:fill="395796"/>
          </w:tcPr>
          <w:p>
            <w:pPr>
              <w:spacing w:after="0"/>
              <w:rPr>
                <w:sz w:val="16"/>
                <w:szCs w:val="16"/>
                <w:color w:val="auto"/>
              </w:rPr>
            </w:pPr>
          </w:p>
        </w:tc>
        <w:tc>
          <w:tcPr>
            <w:tcW w:w="220" w:type="dxa"/>
            <w:vAlign w:val="bottom"/>
            <w:shd w:val="clear" w:color="auto" w:fill="395796"/>
          </w:tcPr>
          <w:p>
            <w:pPr>
              <w:spacing w:after="0"/>
              <w:rPr>
                <w:sz w:val="16"/>
                <w:szCs w:val="16"/>
                <w:color w:val="auto"/>
              </w:rPr>
            </w:pPr>
          </w:p>
        </w:tc>
        <w:tc>
          <w:tcPr>
            <w:tcW w:w="560" w:type="dxa"/>
            <w:vAlign w:val="bottom"/>
            <w:shd w:val="clear" w:color="auto" w:fill="395796"/>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880" w:type="dxa"/>
            <w:vAlign w:val="bottom"/>
            <w:shd w:val="clear" w:color="auto" w:fill="395796"/>
          </w:tcPr>
          <w:p>
            <w:pPr>
              <w:spacing w:after="0"/>
              <w:rPr>
                <w:sz w:val="12"/>
                <w:szCs w:val="12"/>
                <w:color w:val="auto"/>
              </w:rPr>
            </w:pPr>
          </w:p>
        </w:tc>
        <w:tc>
          <w:tcPr>
            <w:tcW w:w="2280" w:type="dxa"/>
            <w:vAlign w:val="bottom"/>
            <w:shd w:val="clear" w:color="auto" w:fill="395796"/>
          </w:tcPr>
          <w:p>
            <w:pPr>
              <w:spacing w:after="0"/>
              <w:rPr>
                <w:sz w:val="12"/>
                <w:szCs w:val="12"/>
                <w:color w:val="auto"/>
              </w:rPr>
            </w:pPr>
          </w:p>
        </w:tc>
        <w:tc>
          <w:tcPr>
            <w:tcW w:w="220" w:type="dxa"/>
            <w:vAlign w:val="bottom"/>
            <w:shd w:val="clear" w:color="auto" w:fill="395796"/>
          </w:tcPr>
          <w:p>
            <w:pPr>
              <w:spacing w:after="0"/>
              <w:rPr>
                <w:sz w:val="12"/>
                <w:szCs w:val="12"/>
                <w:color w:val="auto"/>
              </w:rPr>
            </w:pPr>
          </w:p>
        </w:tc>
        <w:tc>
          <w:tcPr>
            <w:tcW w:w="820" w:type="dxa"/>
            <w:vAlign w:val="bottom"/>
            <w:shd w:val="clear" w:color="auto" w:fill="395796"/>
          </w:tcPr>
          <w:p>
            <w:pPr>
              <w:jc w:val="right"/>
              <w:ind w:right="55"/>
              <w:spacing w:after="0" w:line="149" w:lineRule="exact"/>
              <w:rPr>
                <w:sz w:val="20"/>
                <w:szCs w:val="20"/>
                <w:color w:val="auto"/>
              </w:rPr>
            </w:pPr>
            <w:r>
              <w:rPr>
                <w:rFonts w:ascii="Arial" w:cs="Arial" w:eastAsia="Arial" w:hAnsi="Arial"/>
                <w:sz w:val="14"/>
                <w:szCs w:val="14"/>
                <w:b w:val="1"/>
                <w:bCs w:val="1"/>
                <w:color w:val="FFFFFF"/>
              </w:rPr>
              <w:t>or Paid in</w:t>
            </w:r>
          </w:p>
        </w:tc>
        <w:tc>
          <w:tcPr>
            <w:tcW w:w="240" w:type="dxa"/>
            <w:vAlign w:val="bottom"/>
            <w:shd w:val="clear" w:color="auto" w:fill="395796"/>
          </w:tcPr>
          <w:p>
            <w:pPr>
              <w:spacing w:after="0"/>
              <w:rPr>
                <w:sz w:val="12"/>
                <w:szCs w:val="12"/>
                <w:color w:val="auto"/>
              </w:rPr>
            </w:pPr>
          </w:p>
        </w:tc>
        <w:tc>
          <w:tcPr>
            <w:tcW w:w="160" w:type="dxa"/>
            <w:vAlign w:val="bottom"/>
            <w:shd w:val="clear" w:color="auto" w:fill="395796"/>
          </w:tcPr>
          <w:p>
            <w:pPr>
              <w:spacing w:after="0"/>
              <w:rPr>
                <w:sz w:val="12"/>
                <w:szCs w:val="12"/>
                <w:color w:val="auto"/>
              </w:rPr>
            </w:pPr>
          </w:p>
        </w:tc>
        <w:tc>
          <w:tcPr>
            <w:tcW w:w="680" w:type="dxa"/>
            <w:vAlign w:val="bottom"/>
            <w:shd w:val="clear" w:color="auto" w:fill="395796"/>
          </w:tcPr>
          <w:p>
            <w:pPr>
              <w:jc w:val="right"/>
              <w:ind w:right="59"/>
              <w:spacing w:after="0" w:line="149" w:lineRule="exact"/>
              <w:rPr>
                <w:sz w:val="20"/>
                <w:szCs w:val="20"/>
                <w:color w:val="auto"/>
              </w:rPr>
            </w:pPr>
            <w:r>
              <w:rPr>
                <w:rFonts w:ascii="Arial" w:cs="Arial" w:eastAsia="Arial" w:hAnsi="Arial"/>
                <w:sz w:val="14"/>
                <w:szCs w:val="14"/>
                <w:b w:val="1"/>
                <w:bCs w:val="1"/>
                <w:color w:val="FFFFFF"/>
              </w:rPr>
              <w:t>Awards</w:t>
            </w:r>
          </w:p>
        </w:tc>
        <w:tc>
          <w:tcPr>
            <w:tcW w:w="240" w:type="dxa"/>
            <w:vAlign w:val="bottom"/>
            <w:shd w:val="clear" w:color="auto" w:fill="395796"/>
          </w:tcPr>
          <w:p>
            <w:pPr>
              <w:spacing w:after="0"/>
              <w:rPr>
                <w:sz w:val="12"/>
                <w:szCs w:val="12"/>
                <w:color w:val="auto"/>
              </w:rPr>
            </w:pPr>
          </w:p>
        </w:tc>
        <w:tc>
          <w:tcPr>
            <w:tcW w:w="220" w:type="dxa"/>
            <w:vAlign w:val="bottom"/>
            <w:shd w:val="clear" w:color="auto" w:fill="395796"/>
          </w:tcPr>
          <w:p>
            <w:pPr>
              <w:spacing w:after="0"/>
              <w:rPr>
                <w:sz w:val="12"/>
                <w:szCs w:val="12"/>
                <w:color w:val="auto"/>
              </w:rPr>
            </w:pPr>
          </w:p>
        </w:tc>
        <w:tc>
          <w:tcPr>
            <w:tcW w:w="560" w:type="dxa"/>
            <w:vAlign w:val="bottom"/>
            <w:shd w:val="clear" w:color="auto" w:fill="395796"/>
          </w:tcPr>
          <w:p>
            <w:pPr>
              <w:jc w:val="right"/>
              <w:ind w:right="2"/>
              <w:spacing w:after="0" w:line="149" w:lineRule="exact"/>
              <w:rPr>
                <w:sz w:val="20"/>
                <w:szCs w:val="20"/>
                <w:color w:val="auto"/>
              </w:rPr>
            </w:pPr>
            <w:r>
              <w:rPr>
                <w:rFonts w:ascii="Arial" w:cs="Arial" w:eastAsia="Arial" w:hAnsi="Arial"/>
                <w:sz w:val="14"/>
                <w:szCs w:val="14"/>
                <w:b w:val="1"/>
                <w:bCs w:val="1"/>
                <w:color w:val="FFFFFF"/>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80" w:type="dxa"/>
            <w:vAlign w:val="bottom"/>
            <w:shd w:val="clear" w:color="auto" w:fill="395796"/>
          </w:tcPr>
          <w:p>
            <w:pPr>
              <w:ind w:left="60"/>
              <w:spacing w:after="0" w:line="157" w:lineRule="exact"/>
              <w:rPr>
                <w:sz w:val="20"/>
                <w:szCs w:val="20"/>
                <w:color w:val="auto"/>
              </w:rPr>
            </w:pPr>
            <w:r>
              <w:rPr>
                <w:rFonts w:ascii="Arial" w:cs="Arial" w:eastAsia="Arial" w:hAnsi="Arial"/>
                <w:sz w:val="14"/>
                <w:szCs w:val="14"/>
                <w:b w:val="1"/>
                <w:bCs w:val="1"/>
                <w:color w:val="FFFFFF"/>
              </w:rPr>
              <w:t>Name</w:t>
            </w:r>
          </w:p>
        </w:tc>
        <w:tc>
          <w:tcPr>
            <w:tcW w:w="2280" w:type="dxa"/>
            <w:vAlign w:val="bottom"/>
            <w:vMerge w:val="restart"/>
            <w:shd w:val="clear" w:color="auto" w:fill="395796"/>
          </w:tcPr>
          <w:p>
            <w:pPr>
              <w:ind w:left="2140"/>
              <w:spacing w:after="0"/>
              <w:rPr>
                <w:sz w:val="20"/>
                <w:szCs w:val="20"/>
                <w:color w:val="auto"/>
              </w:rPr>
            </w:pPr>
            <w:r>
              <w:rPr>
                <w:rFonts w:ascii="Arial" w:cs="Arial" w:eastAsia="Arial" w:hAnsi="Arial"/>
                <w:sz w:val="14"/>
                <w:szCs w:val="14"/>
                <w:b w:val="1"/>
                <w:bCs w:val="1"/>
                <w:color w:val="FFFFFF"/>
              </w:rPr>
              <w:t>​</w:t>
            </w:r>
          </w:p>
        </w:tc>
        <w:tc>
          <w:tcPr>
            <w:tcW w:w="220" w:type="dxa"/>
            <w:vAlign w:val="bottom"/>
            <w:vMerge w:val="restart"/>
            <w:shd w:val="clear" w:color="auto" w:fill="395796"/>
          </w:tcPr>
          <w:p>
            <w:pPr>
              <w:ind w:left="80"/>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395796"/>
          </w:tcPr>
          <w:p>
            <w:pPr>
              <w:jc w:val="right"/>
              <w:ind w:right="15"/>
              <w:spacing w:after="0" w:line="157" w:lineRule="exact"/>
              <w:rPr>
                <w:sz w:val="20"/>
                <w:szCs w:val="20"/>
                <w:color w:val="auto"/>
              </w:rPr>
            </w:pPr>
            <w:r>
              <w:rPr>
                <w:rFonts w:ascii="Arial" w:cs="Arial" w:eastAsia="Arial" w:hAnsi="Arial"/>
                <w:sz w:val="14"/>
                <w:szCs w:val="14"/>
                <w:b w:val="1"/>
                <w:bCs w:val="1"/>
                <w:color w:val="FFFFFF"/>
              </w:rPr>
              <w:t>Cash ($)</w:t>
            </w:r>
          </w:p>
        </w:tc>
        <w:tc>
          <w:tcPr>
            <w:tcW w:w="240" w:type="dxa"/>
            <w:vAlign w:val="bottom"/>
            <w:vMerge w:val="restart"/>
            <w:shd w:val="clear" w:color="auto" w:fill="395796"/>
          </w:tcPr>
          <w:p>
            <w:pPr>
              <w:ind w:left="120"/>
              <w:spacing w:after="0"/>
              <w:rPr>
                <w:sz w:val="20"/>
                <w:szCs w:val="20"/>
                <w:color w:val="auto"/>
              </w:rPr>
            </w:pPr>
            <w:r>
              <w:rPr>
                <w:rFonts w:ascii="Arial" w:cs="Arial" w:eastAsia="Arial" w:hAnsi="Arial"/>
                <w:sz w:val="14"/>
                <w:szCs w:val="14"/>
                <w:b w:val="1"/>
                <w:bCs w:val="1"/>
                <w:color w:val="FFFFFF"/>
              </w:rPr>
              <w:t>​</w:t>
            </w:r>
          </w:p>
        </w:tc>
        <w:tc>
          <w:tcPr>
            <w:tcW w:w="160" w:type="dxa"/>
            <w:vAlign w:val="bottom"/>
            <w:vMerge w:val="restart"/>
            <w:shd w:val="clear" w:color="auto" w:fill="395796"/>
          </w:tcPr>
          <w:p>
            <w:pPr>
              <w:ind w:left="80"/>
              <w:spacing w:after="0"/>
              <w:rPr>
                <w:sz w:val="20"/>
                <w:szCs w:val="20"/>
                <w:color w:val="auto"/>
              </w:rPr>
            </w:pPr>
            <w:r>
              <w:rPr>
                <w:rFonts w:ascii="Arial" w:cs="Arial" w:eastAsia="Arial" w:hAnsi="Arial"/>
                <w:sz w:val="14"/>
                <w:szCs w:val="14"/>
                <w:b w:val="1"/>
                <w:bCs w:val="1"/>
                <w:color w:val="FFFFFF"/>
              </w:rPr>
              <w:t>​</w:t>
            </w:r>
          </w:p>
        </w:tc>
        <w:tc>
          <w:tcPr>
            <w:tcW w:w="680" w:type="dxa"/>
            <w:vAlign w:val="bottom"/>
            <w:shd w:val="clear" w:color="auto" w:fill="395796"/>
          </w:tcPr>
          <w:p>
            <w:pPr>
              <w:jc w:val="right"/>
              <w:ind w:right="39"/>
              <w:spacing w:after="0" w:line="15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(1)</w:t>
            </w:r>
          </w:p>
        </w:tc>
        <w:tc>
          <w:tcPr>
            <w:tcW w:w="240" w:type="dxa"/>
            <w:vAlign w:val="bottom"/>
            <w:vMerge w:val="restart"/>
            <w:shd w:val="clear" w:color="auto" w:fill="395796"/>
          </w:tcPr>
          <w:p>
            <w:pPr>
              <w:ind w:left="120"/>
              <w:spacing w:after="0"/>
              <w:rPr>
                <w:sz w:val="20"/>
                <w:szCs w:val="20"/>
                <w:color w:val="auto"/>
              </w:rPr>
            </w:pPr>
            <w:r>
              <w:rPr>
                <w:rFonts w:ascii="Arial" w:cs="Arial" w:eastAsia="Arial" w:hAnsi="Arial"/>
                <w:sz w:val="14"/>
                <w:szCs w:val="14"/>
                <w:b w:val="1"/>
                <w:bCs w:val="1"/>
                <w:color w:val="FFFFFF"/>
              </w:rPr>
              <w:t>​</w:t>
            </w:r>
          </w:p>
        </w:tc>
        <w:tc>
          <w:tcPr>
            <w:tcW w:w="220" w:type="dxa"/>
            <w:vAlign w:val="bottom"/>
            <w:vMerge w:val="restart"/>
            <w:shd w:val="clear" w:color="auto" w:fill="395796"/>
          </w:tcPr>
          <w:p>
            <w:pPr>
              <w:ind w:left="80"/>
              <w:spacing w:after="0"/>
              <w:rPr>
                <w:sz w:val="20"/>
                <w:szCs w:val="20"/>
                <w:color w:val="auto"/>
              </w:rPr>
            </w:pPr>
            <w:r>
              <w:rPr>
                <w:rFonts w:ascii="Arial" w:cs="Arial" w:eastAsia="Arial" w:hAnsi="Arial"/>
                <w:sz w:val="14"/>
                <w:szCs w:val="14"/>
                <w:b w:val="1"/>
                <w:bCs w:val="1"/>
                <w:color w:val="FFFFFF"/>
              </w:rPr>
              <w:t>​</w:t>
            </w:r>
          </w:p>
        </w:tc>
        <w:tc>
          <w:tcPr>
            <w:tcW w:w="560" w:type="dxa"/>
            <w:vAlign w:val="bottom"/>
            <w:shd w:val="clear" w:color="auto" w:fill="395796"/>
          </w:tcPr>
          <w:p>
            <w:pPr>
              <w:jc w:val="right"/>
              <w:spacing w:after="0" w:line="157"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(2)</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54"/>
        </w:trPr>
        <w:tc>
          <w:tcPr>
            <w:tcW w:w="3880" w:type="dxa"/>
            <w:vAlign w:val="bottom"/>
            <w:shd w:val="clear" w:color="auto" w:fill="395796"/>
          </w:tcPr>
          <w:p>
            <w:pPr>
              <w:ind w:left="60"/>
              <w:spacing w:after="0" w:line="54" w:lineRule="exact"/>
              <w:rPr>
                <w:sz w:val="20"/>
                <w:szCs w:val="20"/>
                <w:color w:val="auto"/>
              </w:rPr>
            </w:pPr>
            <w:r>
              <w:rPr>
                <w:rFonts w:ascii="Arial" w:cs="Arial" w:eastAsia="Arial" w:hAnsi="Arial"/>
                <w:sz w:val="6"/>
                <w:szCs w:val="6"/>
                <w:b w:val="1"/>
                <w:bCs w:val="1"/>
                <w:color w:val="FFFFFF"/>
              </w:rPr>
              <w:t>​</w:t>
            </w:r>
          </w:p>
        </w:tc>
        <w:tc>
          <w:tcPr>
            <w:tcW w:w="2280" w:type="dxa"/>
            <w:vAlign w:val="bottom"/>
            <w:vMerge w:val="continue"/>
            <w:shd w:val="clear" w:color="auto" w:fill="395796"/>
          </w:tcPr>
          <w:p>
            <w:pPr>
              <w:spacing w:after="0"/>
              <w:rPr>
                <w:sz w:val="4"/>
                <w:szCs w:val="4"/>
                <w:color w:val="auto"/>
              </w:rPr>
            </w:pPr>
          </w:p>
        </w:tc>
        <w:tc>
          <w:tcPr>
            <w:tcW w:w="220" w:type="dxa"/>
            <w:vAlign w:val="bottom"/>
            <w:vMerge w:val="continue"/>
            <w:shd w:val="clear" w:color="auto" w:fill="395796"/>
          </w:tcPr>
          <w:p>
            <w:pPr>
              <w:spacing w:after="0"/>
              <w:rPr>
                <w:sz w:val="4"/>
                <w:szCs w:val="4"/>
                <w:color w:val="auto"/>
              </w:rPr>
            </w:pPr>
          </w:p>
        </w:tc>
        <w:tc>
          <w:tcPr>
            <w:tcW w:w="820" w:type="dxa"/>
            <w:vAlign w:val="bottom"/>
            <w:shd w:val="clear" w:color="auto" w:fill="395796"/>
          </w:tcPr>
          <w:p>
            <w:pPr>
              <w:spacing w:after="0"/>
              <w:rPr>
                <w:sz w:val="4"/>
                <w:szCs w:val="4"/>
                <w:color w:val="auto"/>
              </w:rPr>
            </w:pPr>
          </w:p>
        </w:tc>
        <w:tc>
          <w:tcPr>
            <w:tcW w:w="240" w:type="dxa"/>
            <w:vAlign w:val="bottom"/>
            <w:vMerge w:val="continue"/>
            <w:shd w:val="clear" w:color="auto" w:fill="395796"/>
          </w:tcPr>
          <w:p>
            <w:pPr>
              <w:spacing w:after="0"/>
              <w:rPr>
                <w:sz w:val="4"/>
                <w:szCs w:val="4"/>
                <w:color w:val="auto"/>
              </w:rPr>
            </w:pPr>
          </w:p>
        </w:tc>
        <w:tc>
          <w:tcPr>
            <w:tcW w:w="160" w:type="dxa"/>
            <w:vAlign w:val="bottom"/>
            <w:vMerge w:val="continue"/>
            <w:shd w:val="clear" w:color="auto" w:fill="395796"/>
          </w:tcPr>
          <w:p>
            <w:pPr>
              <w:spacing w:after="0"/>
              <w:rPr>
                <w:sz w:val="4"/>
                <w:szCs w:val="4"/>
                <w:color w:val="auto"/>
              </w:rPr>
            </w:pPr>
          </w:p>
        </w:tc>
        <w:tc>
          <w:tcPr>
            <w:tcW w:w="680" w:type="dxa"/>
            <w:vAlign w:val="bottom"/>
            <w:shd w:val="clear" w:color="auto" w:fill="395796"/>
          </w:tcPr>
          <w:p>
            <w:pPr>
              <w:spacing w:after="0"/>
              <w:rPr>
                <w:sz w:val="4"/>
                <w:szCs w:val="4"/>
                <w:color w:val="auto"/>
              </w:rPr>
            </w:pPr>
          </w:p>
        </w:tc>
        <w:tc>
          <w:tcPr>
            <w:tcW w:w="240" w:type="dxa"/>
            <w:vAlign w:val="bottom"/>
            <w:vMerge w:val="continue"/>
            <w:shd w:val="clear" w:color="auto" w:fill="395796"/>
          </w:tcPr>
          <w:p>
            <w:pPr>
              <w:spacing w:after="0"/>
              <w:rPr>
                <w:sz w:val="4"/>
                <w:szCs w:val="4"/>
                <w:color w:val="auto"/>
              </w:rPr>
            </w:pPr>
          </w:p>
        </w:tc>
        <w:tc>
          <w:tcPr>
            <w:tcW w:w="220" w:type="dxa"/>
            <w:vAlign w:val="bottom"/>
            <w:vMerge w:val="continue"/>
            <w:shd w:val="clear" w:color="auto" w:fill="395796"/>
          </w:tcPr>
          <w:p>
            <w:pPr>
              <w:spacing w:after="0"/>
              <w:rPr>
                <w:sz w:val="4"/>
                <w:szCs w:val="4"/>
                <w:color w:val="auto"/>
              </w:rPr>
            </w:pPr>
          </w:p>
        </w:tc>
        <w:tc>
          <w:tcPr>
            <w:tcW w:w="560" w:type="dxa"/>
            <w:vAlign w:val="bottom"/>
            <w:shd w:val="clear" w:color="auto" w:fill="395796"/>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60"/>
              <w:spacing w:after="0" w:line="202" w:lineRule="exact"/>
              <w:rPr>
                <w:sz w:val="20"/>
                <w:szCs w:val="20"/>
                <w:color w:val="auto"/>
              </w:rPr>
            </w:pPr>
            <w:r>
              <w:rPr>
                <w:rFonts w:ascii="Arial" w:cs="Arial" w:eastAsia="Arial" w:hAnsi="Arial"/>
                <w:sz w:val="18"/>
                <w:szCs w:val="18"/>
                <w:color w:val="auto"/>
              </w:rPr>
              <w:t>David M. Tolley</w:t>
            </w:r>
          </w:p>
        </w:tc>
        <w:tc>
          <w:tcPr>
            <w:tcW w:w="2280" w:type="dxa"/>
            <w:vAlign w:val="bottom"/>
            <w:vMerge w:val="restart"/>
          </w:tcPr>
          <w:p>
            <w:pPr>
              <w:ind w:left="214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36,750</w:t>
            </w: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106,502</w:t>
            </w: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143,252</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88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22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2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D8D8D8"/>
          </w:tcPr>
          <w:p>
            <w:pPr>
              <w:ind w:left="60"/>
              <w:spacing w:after="0" w:line="202" w:lineRule="exact"/>
              <w:rPr>
                <w:sz w:val="20"/>
                <w:szCs w:val="20"/>
                <w:color w:val="auto"/>
              </w:rPr>
            </w:pPr>
            <w:r>
              <w:rPr>
                <w:rFonts w:ascii="Arial" w:cs="Arial" w:eastAsia="Arial" w:hAnsi="Arial"/>
                <w:sz w:val="18"/>
                <w:szCs w:val="18"/>
                <w:color w:val="auto"/>
              </w:rPr>
              <w:t>David B. Kagan</w:t>
            </w:r>
          </w:p>
        </w:tc>
        <w:tc>
          <w:tcPr>
            <w:tcW w:w="2280" w:type="dxa"/>
            <w:vAlign w:val="bottom"/>
            <w:vMerge w:val="restart"/>
            <w:shd w:val="clear" w:color="auto" w:fill="D8D8D8"/>
          </w:tcPr>
          <w:p>
            <w:pPr>
              <w:ind w:left="214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D8D8D8"/>
          </w:tcPr>
          <w:p>
            <w:pPr>
              <w:jc w:val="right"/>
              <w:ind w:right="35"/>
              <w:spacing w:after="0" w:line="202" w:lineRule="exact"/>
              <w:rPr>
                <w:sz w:val="20"/>
                <w:szCs w:val="20"/>
                <w:color w:val="auto"/>
              </w:rPr>
            </w:pPr>
            <w:r>
              <w:rPr>
                <w:rFonts w:ascii="Arial" w:cs="Arial" w:eastAsia="Arial" w:hAnsi="Arial"/>
                <w:sz w:val="18"/>
                <w:szCs w:val="18"/>
                <w:color w:val="auto"/>
              </w:rPr>
              <w:t>36,750</w:t>
            </w:r>
          </w:p>
        </w:tc>
        <w:tc>
          <w:tcPr>
            <w:tcW w:w="240" w:type="dxa"/>
            <w:vAlign w:val="bottom"/>
            <w:vMerge w:val="restart"/>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D8D8D8"/>
          </w:tcPr>
          <w:p>
            <w:pPr>
              <w:ind w:left="80"/>
              <w:spacing w:after="0" w:line="202" w:lineRule="exact"/>
              <w:rPr>
                <w:sz w:val="20"/>
                <w:szCs w:val="20"/>
                <w:color w:val="auto"/>
              </w:rPr>
            </w:pPr>
            <w:r>
              <w:rPr>
                <w:rFonts w:ascii="Arial" w:cs="Arial" w:eastAsia="Arial" w:hAnsi="Arial"/>
                <w:sz w:val="18"/>
                <w:szCs w:val="18"/>
                <w:color w:val="auto"/>
              </w:rPr>
              <w:t>103,004</w:t>
            </w:r>
          </w:p>
        </w:tc>
        <w:tc>
          <w:tcPr>
            <w:tcW w:w="240" w:type="dxa"/>
            <w:vAlign w:val="bottom"/>
            <w:vMerge w:val="restart"/>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D8D8D8"/>
          </w:tcPr>
          <w:p>
            <w:pPr>
              <w:ind w:left="80"/>
              <w:spacing w:after="0" w:line="202" w:lineRule="exact"/>
              <w:rPr>
                <w:sz w:val="20"/>
                <w:szCs w:val="20"/>
                <w:color w:val="auto"/>
              </w:rPr>
            </w:pPr>
            <w:r>
              <w:rPr>
                <w:rFonts w:ascii="Arial" w:cs="Arial" w:eastAsia="Arial" w:hAnsi="Arial"/>
                <w:sz w:val="18"/>
                <w:szCs w:val="18"/>
                <w:color w:val="auto"/>
              </w:rPr>
              <w:t>139,754</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880" w:type="dxa"/>
            <w:vAlign w:val="bottom"/>
            <w:shd w:val="clear" w:color="auto" w:fill="D8D8D8"/>
          </w:tcPr>
          <w:p>
            <w:pPr>
              <w:ind w:left="60"/>
              <w:spacing w:after="0" w:line="54" w:lineRule="exact"/>
              <w:rPr>
                <w:sz w:val="20"/>
                <w:szCs w:val="20"/>
                <w:color w:val="auto"/>
              </w:rPr>
            </w:pPr>
            <w:r>
              <w:rPr>
                <w:rFonts w:ascii="Arial" w:cs="Arial" w:eastAsia="Arial" w:hAnsi="Arial"/>
                <w:sz w:val="6"/>
                <w:szCs w:val="6"/>
                <w:color w:val="auto"/>
              </w:rPr>
              <w:t>​</w:t>
            </w:r>
          </w:p>
        </w:tc>
        <w:tc>
          <w:tcPr>
            <w:tcW w:w="2280" w:type="dxa"/>
            <w:vAlign w:val="bottom"/>
            <w:vMerge w:val="continue"/>
            <w:shd w:val="clear" w:color="auto" w:fill="D8D8D8"/>
          </w:tcPr>
          <w:p>
            <w:pPr>
              <w:spacing w:after="0"/>
              <w:rPr>
                <w:sz w:val="4"/>
                <w:szCs w:val="4"/>
                <w:color w:val="auto"/>
              </w:rPr>
            </w:pPr>
          </w:p>
        </w:tc>
        <w:tc>
          <w:tcPr>
            <w:tcW w:w="220" w:type="dxa"/>
            <w:vAlign w:val="bottom"/>
            <w:vMerge w:val="continue"/>
            <w:shd w:val="clear" w:color="auto" w:fill="D8D8D8"/>
          </w:tcPr>
          <w:p>
            <w:pPr>
              <w:spacing w:after="0"/>
              <w:rPr>
                <w:sz w:val="4"/>
                <w:szCs w:val="4"/>
                <w:color w:val="auto"/>
              </w:rPr>
            </w:pPr>
          </w:p>
        </w:tc>
        <w:tc>
          <w:tcPr>
            <w:tcW w:w="820" w:type="dxa"/>
            <w:vAlign w:val="bottom"/>
            <w:shd w:val="clear" w:color="auto" w:fill="D8D8D8"/>
          </w:tcPr>
          <w:p>
            <w:pPr>
              <w:spacing w:after="0"/>
              <w:rPr>
                <w:sz w:val="4"/>
                <w:szCs w:val="4"/>
                <w:color w:val="auto"/>
              </w:rPr>
            </w:pPr>
          </w:p>
        </w:tc>
        <w:tc>
          <w:tcPr>
            <w:tcW w:w="240" w:type="dxa"/>
            <w:vAlign w:val="bottom"/>
            <w:vMerge w:val="continue"/>
            <w:shd w:val="clear" w:color="auto" w:fill="D8D8D8"/>
          </w:tcPr>
          <w:p>
            <w:pPr>
              <w:spacing w:after="0"/>
              <w:rPr>
                <w:sz w:val="4"/>
                <w:szCs w:val="4"/>
                <w:color w:val="auto"/>
              </w:rPr>
            </w:pPr>
          </w:p>
        </w:tc>
        <w:tc>
          <w:tcPr>
            <w:tcW w:w="160" w:type="dxa"/>
            <w:vAlign w:val="bottom"/>
            <w:shd w:val="clear" w:color="auto" w:fill="D8D8D8"/>
          </w:tcPr>
          <w:p>
            <w:pPr>
              <w:ind w:left="80"/>
              <w:spacing w:after="0" w:line="54" w:lineRule="exact"/>
              <w:rPr>
                <w:sz w:val="20"/>
                <w:szCs w:val="20"/>
                <w:color w:val="auto"/>
              </w:rPr>
            </w:pPr>
            <w:r>
              <w:rPr>
                <w:rFonts w:ascii="Arial" w:cs="Arial" w:eastAsia="Arial" w:hAnsi="Arial"/>
                <w:sz w:val="6"/>
                <w:szCs w:val="6"/>
                <w:color w:val="auto"/>
              </w:rPr>
              <w:t>​</w:t>
            </w:r>
          </w:p>
        </w:tc>
        <w:tc>
          <w:tcPr>
            <w:tcW w:w="680" w:type="dxa"/>
            <w:vAlign w:val="bottom"/>
            <w:shd w:val="clear" w:color="auto" w:fill="D8D8D8"/>
          </w:tcPr>
          <w:p>
            <w:pPr>
              <w:spacing w:after="0"/>
              <w:rPr>
                <w:sz w:val="4"/>
                <w:szCs w:val="4"/>
                <w:color w:val="auto"/>
              </w:rPr>
            </w:pPr>
          </w:p>
        </w:tc>
        <w:tc>
          <w:tcPr>
            <w:tcW w:w="240" w:type="dxa"/>
            <w:vAlign w:val="bottom"/>
            <w:vMerge w:val="continue"/>
            <w:shd w:val="clear" w:color="auto" w:fill="D8D8D8"/>
          </w:tcPr>
          <w:p>
            <w:pPr>
              <w:spacing w:after="0"/>
              <w:rPr>
                <w:sz w:val="4"/>
                <w:szCs w:val="4"/>
                <w:color w:val="auto"/>
              </w:rPr>
            </w:pPr>
          </w:p>
        </w:tc>
        <w:tc>
          <w:tcPr>
            <w:tcW w:w="220" w:type="dxa"/>
            <w:vAlign w:val="bottom"/>
            <w:shd w:val="clear" w:color="auto" w:fill="D8D8D8"/>
          </w:tcPr>
          <w:p>
            <w:pPr>
              <w:ind w:left="80"/>
              <w:spacing w:after="0" w:line="54" w:lineRule="exact"/>
              <w:rPr>
                <w:sz w:val="20"/>
                <w:szCs w:val="20"/>
                <w:color w:val="auto"/>
              </w:rPr>
            </w:pPr>
            <w:r>
              <w:rPr>
                <w:rFonts w:ascii="Arial" w:cs="Arial" w:eastAsia="Arial" w:hAnsi="Arial"/>
                <w:sz w:val="6"/>
                <w:szCs w:val="6"/>
                <w:color w:val="auto"/>
              </w:rPr>
              <w:t>​</w:t>
            </w:r>
          </w:p>
        </w:tc>
        <w:tc>
          <w:tcPr>
            <w:tcW w:w="560" w:type="dxa"/>
            <w:vAlign w:val="bottom"/>
            <w:shd w:val="clear" w:color="auto" w:fill="D8D8D8"/>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60"/>
              <w:spacing w:after="0" w:line="202" w:lineRule="exact"/>
              <w:rPr>
                <w:sz w:val="20"/>
                <w:szCs w:val="20"/>
                <w:color w:val="auto"/>
              </w:rPr>
            </w:pPr>
            <w:r>
              <w:rPr>
                <w:rFonts w:ascii="Arial" w:cs="Arial" w:eastAsia="Arial" w:hAnsi="Arial"/>
                <w:sz w:val="18"/>
                <w:szCs w:val="18"/>
                <w:color w:val="auto"/>
              </w:rPr>
              <w:t>Stephen Deckoff</w:t>
            </w:r>
          </w:p>
        </w:tc>
        <w:tc>
          <w:tcPr>
            <w:tcW w:w="2280" w:type="dxa"/>
            <w:vAlign w:val="bottom"/>
            <w:vMerge w:val="restart"/>
          </w:tcPr>
          <w:p>
            <w:pPr>
              <w:ind w:left="214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31,500</w:t>
            </w: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9"/>
              <w:spacing w:after="0" w:line="202" w:lineRule="exact"/>
              <w:rPr>
                <w:sz w:val="20"/>
                <w:szCs w:val="20"/>
                <w:color w:val="auto"/>
              </w:rPr>
            </w:pPr>
            <w:r>
              <w:rPr>
                <w:rFonts w:ascii="Arial" w:cs="Arial" w:eastAsia="Arial" w:hAnsi="Arial"/>
                <w:sz w:val="18"/>
                <w:szCs w:val="18"/>
                <w:color w:val="auto"/>
                <w:w w:val="98"/>
              </w:rPr>
              <w:t>75,004</w:t>
            </w: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106,504</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88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228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2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D8D8D8"/>
          </w:tcPr>
          <w:p>
            <w:pPr>
              <w:ind w:left="60"/>
              <w:spacing w:after="0" w:line="202" w:lineRule="exact"/>
              <w:rPr>
                <w:sz w:val="20"/>
                <w:szCs w:val="20"/>
                <w:color w:val="auto"/>
              </w:rPr>
            </w:pPr>
            <w:r>
              <w:rPr>
                <w:rFonts w:ascii="Arial" w:cs="Arial" w:eastAsia="Arial" w:hAnsi="Arial"/>
                <w:sz w:val="18"/>
                <w:szCs w:val="18"/>
                <w:color w:val="auto"/>
              </w:rPr>
              <w:t>Joseph Spytek</w:t>
            </w:r>
          </w:p>
        </w:tc>
        <w:tc>
          <w:tcPr>
            <w:tcW w:w="2280" w:type="dxa"/>
            <w:vAlign w:val="bottom"/>
            <w:vMerge w:val="restart"/>
            <w:shd w:val="clear" w:color="auto" w:fill="D8D8D8"/>
          </w:tcPr>
          <w:p>
            <w:pPr>
              <w:ind w:left="214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D8D8D8"/>
          </w:tcPr>
          <w:p>
            <w:pPr>
              <w:jc w:val="right"/>
              <w:ind w:right="35"/>
              <w:spacing w:after="0" w:line="202" w:lineRule="exact"/>
              <w:rPr>
                <w:sz w:val="20"/>
                <w:szCs w:val="20"/>
                <w:color w:val="auto"/>
              </w:rPr>
            </w:pPr>
            <w:r>
              <w:rPr>
                <w:rFonts w:ascii="Arial" w:cs="Arial" w:eastAsia="Arial" w:hAnsi="Arial"/>
                <w:sz w:val="18"/>
                <w:szCs w:val="18"/>
                <w:color w:val="auto"/>
              </w:rPr>
              <w:t>31,500</w:t>
            </w:r>
          </w:p>
        </w:tc>
        <w:tc>
          <w:tcPr>
            <w:tcW w:w="240" w:type="dxa"/>
            <w:vAlign w:val="bottom"/>
            <w:vMerge w:val="restart"/>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D8D8D8"/>
          </w:tcPr>
          <w:p>
            <w:pPr>
              <w:jc w:val="right"/>
              <w:ind w:right="39"/>
              <w:spacing w:after="0" w:line="202" w:lineRule="exact"/>
              <w:rPr>
                <w:sz w:val="20"/>
                <w:szCs w:val="20"/>
                <w:color w:val="auto"/>
              </w:rPr>
            </w:pPr>
            <w:r>
              <w:rPr>
                <w:rFonts w:ascii="Arial" w:cs="Arial" w:eastAsia="Arial" w:hAnsi="Arial"/>
                <w:sz w:val="18"/>
                <w:szCs w:val="18"/>
                <w:color w:val="auto"/>
                <w:w w:val="98"/>
              </w:rPr>
              <w:t>99,000</w:t>
            </w:r>
          </w:p>
        </w:tc>
        <w:tc>
          <w:tcPr>
            <w:tcW w:w="240" w:type="dxa"/>
            <w:vAlign w:val="bottom"/>
            <w:vMerge w:val="restart"/>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D8D8D8"/>
          </w:tcPr>
          <w:p>
            <w:pPr>
              <w:ind w:left="80"/>
              <w:spacing w:after="0" w:line="202" w:lineRule="exact"/>
              <w:rPr>
                <w:sz w:val="20"/>
                <w:szCs w:val="20"/>
                <w:color w:val="auto"/>
              </w:rPr>
            </w:pPr>
            <w:r>
              <w:rPr>
                <w:rFonts w:ascii="Arial" w:cs="Arial" w:eastAsia="Arial" w:hAnsi="Arial"/>
                <w:sz w:val="18"/>
                <w:szCs w:val="18"/>
                <w:color w:val="auto"/>
              </w:rPr>
              <w:t>130,500</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880" w:type="dxa"/>
            <w:vAlign w:val="bottom"/>
            <w:shd w:val="clear" w:color="auto" w:fill="D8D8D8"/>
          </w:tcPr>
          <w:p>
            <w:pPr>
              <w:ind w:left="60"/>
              <w:spacing w:after="0" w:line="54" w:lineRule="exact"/>
              <w:rPr>
                <w:sz w:val="20"/>
                <w:szCs w:val="20"/>
                <w:color w:val="auto"/>
              </w:rPr>
            </w:pPr>
            <w:r>
              <w:rPr>
                <w:rFonts w:ascii="Arial" w:cs="Arial" w:eastAsia="Arial" w:hAnsi="Arial"/>
                <w:sz w:val="6"/>
                <w:szCs w:val="6"/>
                <w:color w:val="auto"/>
              </w:rPr>
              <w:t>​</w:t>
            </w:r>
          </w:p>
        </w:tc>
        <w:tc>
          <w:tcPr>
            <w:tcW w:w="2280" w:type="dxa"/>
            <w:vAlign w:val="bottom"/>
            <w:vMerge w:val="continue"/>
            <w:shd w:val="clear" w:color="auto" w:fill="D8D8D8"/>
          </w:tcPr>
          <w:p>
            <w:pPr>
              <w:spacing w:after="0"/>
              <w:rPr>
                <w:sz w:val="4"/>
                <w:szCs w:val="4"/>
                <w:color w:val="auto"/>
              </w:rPr>
            </w:pPr>
          </w:p>
        </w:tc>
        <w:tc>
          <w:tcPr>
            <w:tcW w:w="220" w:type="dxa"/>
            <w:vAlign w:val="bottom"/>
            <w:vMerge w:val="continue"/>
            <w:shd w:val="clear" w:color="auto" w:fill="D8D8D8"/>
          </w:tcPr>
          <w:p>
            <w:pPr>
              <w:spacing w:after="0"/>
              <w:rPr>
                <w:sz w:val="4"/>
                <w:szCs w:val="4"/>
                <w:color w:val="auto"/>
              </w:rPr>
            </w:pPr>
          </w:p>
        </w:tc>
        <w:tc>
          <w:tcPr>
            <w:tcW w:w="820" w:type="dxa"/>
            <w:vAlign w:val="bottom"/>
            <w:shd w:val="clear" w:color="auto" w:fill="D8D8D8"/>
          </w:tcPr>
          <w:p>
            <w:pPr>
              <w:spacing w:after="0"/>
              <w:rPr>
                <w:sz w:val="4"/>
                <w:szCs w:val="4"/>
                <w:color w:val="auto"/>
              </w:rPr>
            </w:pPr>
          </w:p>
        </w:tc>
        <w:tc>
          <w:tcPr>
            <w:tcW w:w="240" w:type="dxa"/>
            <w:vAlign w:val="bottom"/>
            <w:vMerge w:val="continue"/>
            <w:shd w:val="clear" w:color="auto" w:fill="D8D8D8"/>
          </w:tcPr>
          <w:p>
            <w:pPr>
              <w:spacing w:after="0"/>
              <w:rPr>
                <w:sz w:val="4"/>
                <w:szCs w:val="4"/>
                <w:color w:val="auto"/>
              </w:rPr>
            </w:pPr>
          </w:p>
        </w:tc>
        <w:tc>
          <w:tcPr>
            <w:tcW w:w="160" w:type="dxa"/>
            <w:vAlign w:val="bottom"/>
            <w:vMerge w:val="continue"/>
            <w:shd w:val="clear" w:color="auto" w:fill="D8D8D8"/>
          </w:tcPr>
          <w:p>
            <w:pPr>
              <w:spacing w:after="0"/>
              <w:rPr>
                <w:sz w:val="4"/>
                <w:szCs w:val="4"/>
                <w:color w:val="auto"/>
              </w:rPr>
            </w:pPr>
          </w:p>
        </w:tc>
        <w:tc>
          <w:tcPr>
            <w:tcW w:w="680" w:type="dxa"/>
            <w:vAlign w:val="bottom"/>
            <w:shd w:val="clear" w:color="auto" w:fill="D8D8D8"/>
          </w:tcPr>
          <w:p>
            <w:pPr>
              <w:spacing w:after="0"/>
              <w:rPr>
                <w:sz w:val="4"/>
                <w:szCs w:val="4"/>
                <w:color w:val="auto"/>
              </w:rPr>
            </w:pPr>
          </w:p>
        </w:tc>
        <w:tc>
          <w:tcPr>
            <w:tcW w:w="240" w:type="dxa"/>
            <w:vAlign w:val="bottom"/>
            <w:vMerge w:val="continue"/>
            <w:shd w:val="clear" w:color="auto" w:fill="D8D8D8"/>
          </w:tcPr>
          <w:p>
            <w:pPr>
              <w:spacing w:after="0"/>
              <w:rPr>
                <w:sz w:val="4"/>
                <w:szCs w:val="4"/>
                <w:color w:val="auto"/>
              </w:rPr>
            </w:pPr>
          </w:p>
        </w:tc>
        <w:tc>
          <w:tcPr>
            <w:tcW w:w="220" w:type="dxa"/>
            <w:vAlign w:val="bottom"/>
            <w:shd w:val="clear" w:color="auto" w:fill="D8D8D8"/>
          </w:tcPr>
          <w:p>
            <w:pPr>
              <w:ind w:left="80"/>
              <w:spacing w:after="0" w:line="54" w:lineRule="exact"/>
              <w:rPr>
                <w:sz w:val="20"/>
                <w:szCs w:val="20"/>
                <w:color w:val="auto"/>
              </w:rPr>
            </w:pPr>
            <w:r>
              <w:rPr>
                <w:rFonts w:ascii="Arial" w:cs="Arial" w:eastAsia="Arial" w:hAnsi="Arial"/>
                <w:sz w:val="6"/>
                <w:szCs w:val="6"/>
                <w:color w:val="auto"/>
              </w:rPr>
              <w:t>​</w:t>
            </w:r>
          </w:p>
        </w:tc>
        <w:tc>
          <w:tcPr>
            <w:tcW w:w="560" w:type="dxa"/>
            <w:vAlign w:val="bottom"/>
            <w:shd w:val="clear" w:color="auto" w:fill="D8D8D8"/>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880" w:type="dxa"/>
            <w:vAlign w:val="bottom"/>
          </w:tcPr>
          <w:p>
            <w:pPr>
              <w:ind w:left="60"/>
              <w:spacing w:after="0" w:line="202" w:lineRule="exact"/>
              <w:rPr>
                <w:sz w:val="20"/>
                <w:szCs w:val="20"/>
                <w:color w:val="auto"/>
              </w:rPr>
            </w:pPr>
            <w:r>
              <w:rPr>
                <w:rFonts w:ascii="Arial" w:cs="Arial" w:eastAsia="Arial" w:hAnsi="Arial"/>
                <w:sz w:val="18"/>
                <w:szCs w:val="18"/>
                <w:color w:val="auto"/>
              </w:rPr>
              <w:t>Charles. R. Trimble</w:t>
            </w:r>
            <w:r>
              <w:rPr>
                <w:rFonts w:ascii="Arial" w:cs="Arial" w:eastAsia="Arial" w:hAnsi="Arial"/>
                <w:sz w:val="23"/>
                <w:szCs w:val="23"/>
                <w:color w:val="auto"/>
                <w:vertAlign w:val="superscript"/>
              </w:rPr>
              <w:t>(3)</w:t>
            </w:r>
          </w:p>
        </w:tc>
        <w:tc>
          <w:tcPr>
            <w:tcW w:w="2280" w:type="dxa"/>
            <w:vAlign w:val="bottom"/>
            <w:vMerge w:val="restart"/>
          </w:tcPr>
          <w:p>
            <w:pPr>
              <w:ind w:left="214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
              <w:spacing w:after="0" w:line="202" w:lineRule="exact"/>
              <w:rPr>
                <w:sz w:val="20"/>
                <w:szCs w:val="20"/>
                <w:color w:val="auto"/>
              </w:rPr>
            </w:pPr>
            <w:r>
              <w:rPr>
                <w:rFonts w:ascii="Arial" w:cs="Arial" w:eastAsia="Arial" w:hAnsi="Arial"/>
                <w:sz w:val="18"/>
                <w:szCs w:val="18"/>
                <w:color w:val="auto"/>
              </w:rPr>
              <w:t>5,250</w:t>
            </w: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5,250</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3880" w:type="dxa"/>
            <w:vAlign w:val="bottom"/>
            <w:tcBorders>
              <w:bottom w:val="single" w:sz="8" w:color="auto"/>
            </w:tcBorders>
          </w:tcPr>
          <w:p>
            <w:pPr>
              <w:ind w:left="60"/>
              <w:spacing w:after="0" w:line="81" w:lineRule="exact"/>
              <w:rPr>
                <w:sz w:val="20"/>
                <w:szCs w:val="20"/>
                <w:color w:val="auto"/>
              </w:rPr>
            </w:pPr>
            <w:r>
              <w:rPr>
                <w:rFonts w:ascii="Arial" w:cs="Arial" w:eastAsia="Arial" w:hAnsi="Arial"/>
                <w:sz w:val="9"/>
                <w:szCs w:val="9"/>
                <w:color w:val="auto"/>
              </w:rPr>
              <w:t>​</w:t>
            </w:r>
          </w:p>
        </w:tc>
        <w:tc>
          <w:tcPr>
            <w:tcW w:w="228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vMerge w:val="continue"/>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vMerge w:val="continue"/>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vMerge w:val="continue"/>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jc w:val="both"/>
        <w:ind w:left="1060" w:right="60" w:hanging="352"/>
        <w:spacing w:after="0" w:line="275" w:lineRule="auto"/>
        <w:tabs>
          <w:tab w:leader="none" w:pos="1060" w:val="left"/>
        </w:tabs>
        <w:numPr>
          <w:ilvl w:val="0"/>
          <w:numId w:val="31"/>
        </w:numPr>
        <w:rPr>
          <w:rFonts w:ascii="Arial" w:cs="Arial" w:eastAsia="Arial" w:hAnsi="Arial"/>
          <w:sz w:val="14"/>
          <w:szCs w:val="14"/>
          <w:color w:val="395796"/>
        </w:rPr>
      </w:pPr>
      <w:r>
        <w:rPr>
          <w:rFonts w:ascii="Arial" w:cs="Arial" w:eastAsia="Arial" w:hAnsi="Arial"/>
          <w:sz w:val="14"/>
          <w:szCs w:val="14"/>
          <w:color w:val="auto"/>
        </w:rPr>
        <w:t>Amounts shown do not reflect compensation actually received by the director. Instead, the amounts shown represent the aggregate grant date fair value, computed using the market price on the date of grant in accordance with ASC 718, of restricted stock awards granted during 2025, excluding the effect of estimated forfeitures.</w:t>
      </w:r>
    </w:p>
    <w:p>
      <w:pPr>
        <w:jc w:val="both"/>
        <w:ind w:left="1060" w:right="40" w:hanging="352"/>
        <w:spacing w:after="0" w:line="275" w:lineRule="auto"/>
        <w:tabs>
          <w:tab w:leader="none" w:pos="1060" w:val="left"/>
        </w:tabs>
        <w:numPr>
          <w:ilvl w:val="0"/>
          <w:numId w:val="31"/>
        </w:numPr>
        <w:rPr>
          <w:rFonts w:ascii="Arial" w:cs="Arial" w:eastAsia="Arial" w:hAnsi="Arial"/>
          <w:sz w:val="14"/>
          <w:szCs w:val="14"/>
          <w:color w:val="395796"/>
        </w:rPr>
      </w:pPr>
      <w:r>
        <w:rPr>
          <w:rFonts w:ascii="Arial" w:cs="Arial" w:eastAsia="Arial" w:hAnsi="Arial"/>
          <w:sz w:val="14"/>
          <w:szCs w:val="14"/>
          <w:color w:val="auto"/>
        </w:rPr>
        <w:t>Amounts shown reflect actual cash earned during 2025 as well as the aggregate grant-date fair value of stock awards granted during 2025. Refer to the “Outstanding Director Equity Awards at December 31, 2025” table for information concerning outstanding equity awards held by our non-employee directors.</w:t>
      </w:r>
    </w:p>
    <w:p>
      <w:pPr>
        <w:spacing w:after="0" w:line="1" w:lineRule="exact"/>
        <w:rPr>
          <w:rFonts w:ascii="Arial" w:cs="Arial" w:eastAsia="Arial" w:hAnsi="Arial"/>
          <w:sz w:val="14"/>
          <w:szCs w:val="14"/>
          <w:color w:val="395796"/>
        </w:rPr>
      </w:pPr>
    </w:p>
    <w:p>
      <w:pPr>
        <w:ind w:left="1060" w:hanging="352"/>
        <w:spacing w:after="0"/>
        <w:tabs>
          <w:tab w:leader="none" w:pos="1060" w:val="left"/>
        </w:tabs>
        <w:numPr>
          <w:ilvl w:val="0"/>
          <w:numId w:val="31"/>
        </w:numPr>
        <w:rPr>
          <w:rFonts w:ascii="Arial" w:cs="Arial" w:eastAsia="Arial" w:hAnsi="Arial"/>
          <w:sz w:val="14"/>
          <w:szCs w:val="14"/>
          <w:color w:val="395796"/>
        </w:rPr>
      </w:pPr>
      <w:r>
        <w:rPr>
          <w:rFonts w:ascii="Arial" w:cs="Arial" w:eastAsia="Arial" w:hAnsi="Arial"/>
          <w:sz w:val="14"/>
          <w:szCs w:val="14"/>
          <w:color w:val="auto"/>
        </w:rPr>
        <w:t>The term of Mr. Trimble ended at the annual meeting of stockholders on June 4, 2025.</w:t>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40" w:hanging="332"/>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17"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395796"/>
        </w:rPr>
        <w:t>COMPENSATION OF DIRECTORS AND EXECUTIVE OFFICERS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395796"/>
        </w:rPr>
        <w:t>Outstanding Director Equity Awards at December 31, 2025</w:t>
      </w:r>
    </w:p>
    <w:p>
      <w:pPr>
        <w:spacing w:after="0" w:line="114" w:lineRule="exact"/>
        <w:rPr>
          <w:sz w:val="20"/>
          <w:szCs w:val="20"/>
          <w:color w:val="auto"/>
        </w:rPr>
      </w:pPr>
    </w:p>
    <w:p>
      <w:pPr>
        <w:ind w:left="700" w:right="60"/>
        <w:spacing w:after="0" w:line="287" w:lineRule="auto"/>
        <w:rPr>
          <w:sz w:val="20"/>
          <w:szCs w:val="20"/>
          <w:color w:val="auto"/>
        </w:rPr>
      </w:pPr>
      <w:r>
        <w:rPr>
          <w:rFonts w:ascii="Arial" w:cs="Arial" w:eastAsia="Arial" w:hAnsi="Arial"/>
          <w:sz w:val="18"/>
          <w:szCs w:val="18"/>
          <w:color w:val="auto"/>
        </w:rPr>
        <w:t>The following table provides information concerning outstanding equity awards held by our directors who were not named executive officers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66040</wp:posOffset>
            </wp:positionV>
            <wp:extent cx="34290" cy="925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925830"/>
                    </a:xfrm>
                    <a:prstGeom prst="rect">
                      <a:avLst/>
                    </a:prstGeom>
                    <a:noFill/>
                  </pic:spPr>
                </pic:pic>
              </a:graphicData>
            </a:graphic>
          </wp:anchor>
        </w:drawing>
      </w:r>
    </w:p>
    <w:p>
      <w:pPr>
        <w:spacing w:after="0" w:line="84" w:lineRule="exact"/>
        <w:rPr>
          <w:sz w:val="20"/>
          <w:szCs w:val="20"/>
          <w:color w:val="auto"/>
        </w:rPr>
      </w:pPr>
    </w:p>
    <w:tbl>
      <w:tblPr>
        <w:tblLayout w:type="fixed"/>
        <w:tblInd w:w="700" w:type="dxa"/>
        <w:tblCellMar>
          <w:top w:w="0" w:type="dxa"/>
          <w:left w:w="0" w:type="dxa"/>
          <w:bottom w:w="0" w:type="dxa"/>
          <w:right w:w="0" w:type="dxa"/>
        </w:tblCellMar>
      </w:tblPr>
      <w:tr>
        <w:trPr>
          <w:trHeight w:val="243"/>
        </w:trPr>
        <w:tc>
          <w:tcPr>
            <w:tcW w:w="5620" w:type="dxa"/>
            <w:vAlign w:val="bottom"/>
            <w:gridSpan w:val="2"/>
            <w:shd w:val="clear" w:color="auto" w:fill="395796"/>
          </w:tcPr>
          <w:p>
            <w:pPr>
              <w:spacing w:after="0"/>
              <w:rPr>
                <w:sz w:val="20"/>
                <w:szCs w:val="20"/>
                <w:color w:val="auto"/>
              </w:rPr>
            </w:pPr>
            <w:r>
              <w:rPr>
                <w:rFonts w:ascii="Arial" w:cs="Arial" w:eastAsia="Arial" w:hAnsi="Arial"/>
                <w:sz w:val="14"/>
                <w:szCs w:val="14"/>
                <w:b w:val="1"/>
                <w:bCs w:val="1"/>
                <w:color w:val="FFFFFF"/>
              </w:rPr>
              <w:t>​​</w:t>
            </w:r>
          </w:p>
        </w:tc>
        <w:tc>
          <w:tcPr>
            <w:tcW w:w="360" w:type="dxa"/>
            <w:vAlign w:val="bottom"/>
            <w:shd w:val="clear" w:color="auto" w:fill="395796"/>
          </w:tcPr>
          <w:p>
            <w:pPr>
              <w:spacing w:after="0"/>
              <w:rPr>
                <w:sz w:val="20"/>
                <w:szCs w:val="20"/>
                <w:color w:val="auto"/>
              </w:rPr>
            </w:pPr>
            <w:r>
              <w:rPr>
                <w:rFonts w:ascii="Arial" w:cs="Arial" w:eastAsia="Arial" w:hAnsi="Arial"/>
                <w:sz w:val="14"/>
                <w:szCs w:val="14"/>
                <w:b w:val="1"/>
                <w:bCs w:val="1"/>
                <w:color w:val="FFFFFF"/>
              </w:rPr>
              <w:t>​  ​</w:t>
            </w:r>
          </w:p>
        </w:tc>
        <w:tc>
          <w:tcPr>
            <w:tcW w:w="160" w:type="dxa"/>
            <w:vAlign w:val="bottom"/>
            <w:shd w:val="clear" w:color="auto" w:fill="395796"/>
          </w:tcPr>
          <w:p>
            <w:pPr>
              <w:spacing w:after="0"/>
              <w:rPr>
                <w:sz w:val="21"/>
                <w:szCs w:val="21"/>
                <w:color w:val="auto"/>
              </w:rPr>
            </w:pPr>
          </w:p>
        </w:tc>
        <w:tc>
          <w:tcPr>
            <w:tcW w:w="860" w:type="dxa"/>
            <w:vAlign w:val="bottom"/>
            <w:shd w:val="clear" w:color="auto" w:fill="395796"/>
          </w:tcPr>
          <w:p>
            <w:pPr>
              <w:jc w:val="right"/>
              <w:ind w:right="8"/>
              <w:spacing w:after="0"/>
              <w:rPr>
                <w:sz w:val="20"/>
                <w:szCs w:val="20"/>
                <w:color w:val="auto"/>
              </w:rPr>
            </w:pPr>
            <w:r>
              <w:rPr>
                <w:rFonts w:ascii="Arial" w:cs="Arial" w:eastAsia="Arial" w:hAnsi="Arial"/>
                <w:sz w:val="14"/>
                <w:szCs w:val="14"/>
                <w:b w:val="1"/>
                <w:bCs w:val="1"/>
                <w:color w:val="FFFFFF"/>
              </w:rPr>
              <w:t>​</w:t>
            </w:r>
          </w:p>
        </w:tc>
        <w:tc>
          <w:tcPr>
            <w:tcW w:w="300" w:type="dxa"/>
            <w:vAlign w:val="bottom"/>
            <w:shd w:val="clear" w:color="auto" w:fill="395796"/>
          </w:tcPr>
          <w:p>
            <w:pPr>
              <w:ind w:left="100"/>
              <w:spacing w:after="0"/>
              <w:rPr>
                <w:sz w:val="20"/>
                <w:szCs w:val="20"/>
                <w:color w:val="auto"/>
              </w:rPr>
            </w:pPr>
            <w:r>
              <w:rPr>
                <w:rFonts w:ascii="Arial" w:cs="Arial" w:eastAsia="Arial" w:hAnsi="Arial"/>
                <w:sz w:val="14"/>
                <w:szCs w:val="14"/>
                <w:b w:val="1"/>
                <w:bCs w:val="1"/>
                <w:color w:val="FFFFFF"/>
              </w:rPr>
              <w:t>​</w:t>
            </w:r>
          </w:p>
        </w:tc>
        <w:tc>
          <w:tcPr>
            <w:tcW w:w="60" w:type="dxa"/>
            <w:vAlign w:val="bottom"/>
            <w:shd w:val="clear" w:color="auto" w:fill="395796"/>
          </w:tcPr>
          <w:p>
            <w:pPr>
              <w:spacing w:after="0"/>
              <w:rPr>
                <w:sz w:val="21"/>
                <w:szCs w:val="21"/>
                <w:color w:val="auto"/>
              </w:rPr>
            </w:pPr>
          </w:p>
        </w:tc>
        <w:tc>
          <w:tcPr>
            <w:tcW w:w="1900" w:type="dxa"/>
            <w:vAlign w:val="bottom"/>
            <w:gridSpan w:val="4"/>
            <w:shd w:val="clear" w:color="auto" w:fill="395796"/>
          </w:tcPr>
          <w:p>
            <w:pPr>
              <w:jc w:val="right"/>
              <w:ind w:right="441"/>
              <w:spacing w:after="0"/>
              <w:rPr>
                <w:sz w:val="20"/>
                <w:szCs w:val="20"/>
                <w:color w:val="auto"/>
              </w:rPr>
            </w:pPr>
            <w:r>
              <w:rPr>
                <w:rFonts w:ascii="Arial" w:cs="Arial" w:eastAsia="Arial" w:hAnsi="Arial"/>
                <w:sz w:val="14"/>
                <w:szCs w:val="14"/>
                <w:b w:val="1"/>
                <w:bCs w:val="1"/>
                <w:color w:val="FFFFFF"/>
              </w:rPr>
              <w:t>Stock Awards</w:t>
            </w:r>
          </w:p>
        </w:tc>
        <w:tc>
          <w:tcPr>
            <w:tcW w:w="40" w:type="dxa"/>
            <w:vAlign w:val="bottom"/>
            <w:shd w:val="clear" w:color="auto" w:fill="395796"/>
          </w:tcPr>
          <w:p>
            <w:pPr>
              <w:spacing w:after="0"/>
              <w:rPr>
                <w:sz w:val="20"/>
                <w:szCs w:val="20"/>
                <w:color w:val="auto"/>
              </w:rPr>
            </w:pPr>
            <w:r>
              <w:rPr>
                <w:rFonts w:ascii="Arial" w:cs="Arial" w:eastAsia="Arial" w:hAnsi="Arial"/>
                <w:sz w:val="14"/>
                <w:szCs w:val="14"/>
                <w:b w:val="1"/>
                <w:bCs w:val="1"/>
                <w:color w:val="FFFFFF"/>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5560" w:type="dxa"/>
            <w:vAlign w:val="bottom"/>
            <w:shd w:val="clear" w:color="auto" w:fill="395796"/>
          </w:tcPr>
          <w:p>
            <w:pPr>
              <w:spacing w:after="0"/>
              <w:rPr>
                <w:sz w:val="17"/>
                <w:szCs w:val="17"/>
                <w:color w:val="auto"/>
              </w:rPr>
            </w:pPr>
          </w:p>
        </w:tc>
        <w:tc>
          <w:tcPr>
            <w:tcW w:w="360" w:type="dxa"/>
            <w:vAlign w:val="bottom"/>
            <w:shd w:val="clear" w:color="auto" w:fill="395796"/>
          </w:tcPr>
          <w:p>
            <w:pPr>
              <w:spacing w:after="0"/>
              <w:rPr>
                <w:sz w:val="17"/>
                <w:szCs w:val="17"/>
                <w:color w:val="auto"/>
              </w:rPr>
            </w:pPr>
          </w:p>
        </w:tc>
        <w:tc>
          <w:tcPr>
            <w:tcW w:w="160" w:type="dxa"/>
            <w:vAlign w:val="bottom"/>
            <w:shd w:val="clear" w:color="auto" w:fill="395796"/>
          </w:tcPr>
          <w:p>
            <w:pPr>
              <w:spacing w:after="0"/>
              <w:rPr>
                <w:sz w:val="17"/>
                <w:szCs w:val="17"/>
                <w:color w:val="auto"/>
              </w:rPr>
            </w:pPr>
          </w:p>
        </w:tc>
        <w:tc>
          <w:tcPr>
            <w:tcW w:w="860" w:type="dxa"/>
            <w:vAlign w:val="bottom"/>
            <w:shd w:val="clear" w:color="auto" w:fill="395796"/>
          </w:tcPr>
          <w:p>
            <w:pPr>
              <w:spacing w:after="0"/>
              <w:rPr>
                <w:sz w:val="17"/>
                <w:szCs w:val="17"/>
                <w:color w:val="auto"/>
              </w:rPr>
            </w:pPr>
          </w:p>
        </w:tc>
        <w:tc>
          <w:tcPr>
            <w:tcW w:w="300" w:type="dxa"/>
            <w:vAlign w:val="bottom"/>
            <w:shd w:val="clear" w:color="auto" w:fill="395796"/>
          </w:tcPr>
          <w:p>
            <w:pPr>
              <w:spacing w:after="0"/>
              <w:rPr>
                <w:sz w:val="17"/>
                <w:szCs w:val="17"/>
                <w:color w:val="auto"/>
              </w:rPr>
            </w:pPr>
          </w:p>
        </w:tc>
        <w:tc>
          <w:tcPr>
            <w:tcW w:w="60" w:type="dxa"/>
            <w:vAlign w:val="bottom"/>
            <w:shd w:val="clear" w:color="auto" w:fill="395796"/>
          </w:tcPr>
          <w:p>
            <w:pPr>
              <w:spacing w:after="0"/>
              <w:rPr>
                <w:sz w:val="17"/>
                <w:szCs w:val="17"/>
                <w:color w:val="auto"/>
              </w:rPr>
            </w:pPr>
          </w:p>
        </w:tc>
        <w:tc>
          <w:tcPr>
            <w:tcW w:w="800" w:type="dxa"/>
            <w:vAlign w:val="bottom"/>
            <w:shd w:val="clear" w:color="auto" w:fill="395796"/>
          </w:tcPr>
          <w:p>
            <w:pPr>
              <w:spacing w:after="0"/>
              <w:rPr>
                <w:sz w:val="17"/>
                <w:szCs w:val="17"/>
                <w:color w:val="auto"/>
              </w:rPr>
            </w:pPr>
          </w:p>
        </w:tc>
        <w:tc>
          <w:tcPr>
            <w:tcW w:w="240" w:type="dxa"/>
            <w:vAlign w:val="bottom"/>
            <w:shd w:val="clear" w:color="auto" w:fill="395796"/>
          </w:tcPr>
          <w:p>
            <w:pPr>
              <w:spacing w:after="0"/>
              <w:rPr>
                <w:sz w:val="17"/>
                <w:szCs w:val="17"/>
                <w:color w:val="auto"/>
              </w:rPr>
            </w:pPr>
          </w:p>
        </w:tc>
        <w:tc>
          <w:tcPr>
            <w:tcW w:w="160" w:type="dxa"/>
            <w:vAlign w:val="bottom"/>
            <w:shd w:val="clear" w:color="auto" w:fill="395796"/>
          </w:tcPr>
          <w:p>
            <w:pPr>
              <w:spacing w:after="0"/>
              <w:rPr>
                <w:sz w:val="17"/>
                <w:szCs w:val="17"/>
                <w:color w:val="auto"/>
              </w:rPr>
            </w:pPr>
          </w:p>
        </w:tc>
        <w:tc>
          <w:tcPr>
            <w:tcW w:w="70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Market</w:t>
            </w:r>
          </w:p>
        </w:tc>
        <w:tc>
          <w:tcPr>
            <w:tcW w:w="40" w:type="dxa"/>
            <w:vAlign w:val="bottom"/>
            <w:shd w:val="clear" w:color="auto" w:fill="395796"/>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560" w:type="dxa"/>
            <w:vAlign w:val="bottom"/>
            <w:shd w:val="clear" w:color="auto" w:fill="395796"/>
          </w:tcPr>
          <w:p>
            <w:pPr>
              <w:spacing w:after="0"/>
              <w:rPr>
                <w:sz w:val="14"/>
                <w:szCs w:val="14"/>
                <w:color w:val="auto"/>
              </w:rPr>
            </w:pPr>
          </w:p>
        </w:tc>
        <w:tc>
          <w:tcPr>
            <w:tcW w:w="360" w:type="dxa"/>
            <w:vAlign w:val="bottom"/>
            <w:shd w:val="clear" w:color="auto" w:fill="395796"/>
          </w:tcPr>
          <w:p>
            <w:pPr>
              <w:spacing w:after="0"/>
              <w:rPr>
                <w:sz w:val="14"/>
                <w:szCs w:val="14"/>
                <w:color w:val="auto"/>
              </w:rPr>
            </w:pPr>
          </w:p>
        </w:tc>
        <w:tc>
          <w:tcPr>
            <w:tcW w:w="160" w:type="dxa"/>
            <w:vAlign w:val="bottom"/>
            <w:shd w:val="clear" w:color="auto" w:fill="395796"/>
          </w:tcPr>
          <w:p>
            <w:pPr>
              <w:spacing w:after="0"/>
              <w:rPr>
                <w:sz w:val="14"/>
                <w:szCs w:val="14"/>
                <w:color w:val="auto"/>
              </w:rPr>
            </w:pPr>
          </w:p>
        </w:tc>
        <w:tc>
          <w:tcPr>
            <w:tcW w:w="860" w:type="dxa"/>
            <w:vAlign w:val="bottom"/>
            <w:shd w:val="clear" w:color="auto" w:fill="395796"/>
          </w:tcPr>
          <w:p>
            <w:pPr>
              <w:spacing w:after="0"/>
              <w:rPr>
                <w:sz w:val="14"/>
                <w:szCs w:val="14"/>
                <w:color w:val="auto"/>
              </w:rPr>
            </w:pPr>
          </w:p>
        </w:tc>
        <w:tc>
          <w:tcPr>
            <w:tcW w:w="300" w:type="dxa"/>
            <w:vAlign w:val="bottom"/>
            <w:shd w:val="clear" w:color="auto" w:fill="395796"/>
          </w:tcPr>
          <w:p>
            <w:pPr>
              <w:spacing w:after="0"/>
              <w:rPr>
                <w:sz w:val="14"/>
                <w:szCs w:val="14"/>
                <w:color w:val="auto"/>
              </w:rPr>
            </w:pPr>
          </w:p>
        </w:tc>
        <w:tc>
          <w:tcPr>
            <w:tcW w:w="860" w:type="dxa"/>
            <w:vAlign w:val="bottom"/>
            <w:gridSpan w:val="2"/>
            <w:shd w:val="clear" w:color="auto" w:fill="395796"/>
          </w:tcPr>
          <w:p>
            <w:pPr>
              <w:jc w:val="right"/>
              <w:ind w:right="60"/>
              <w:spacing w:after="0"/>
              <w:rPr>
                <w:sz w:val="20"/>
                <w:szCs w:val="20"/>
                <w:color w:val="auto"/>
              </w:rPr>
            </w:pPr>
            <w:r>
              <w:rPr>
                <w:rFonts w:ascii="Arial" w:cs="Arial" w:eastAsia="Arial" w:hAnsi="Arial"/>
                <w:sz w:val="14"/>
                <w:szCs w:val="14"/>
                <w:b w:val="1"/>
                <w:bCs w:val="1"/>
                <w:color w:val="FFFFFF"/>
                <w:w w:val="99"/>
              </w:rPr>
              <w:t>Number of</w:t>
            </w:r>
          </w:p>
        </w:tc>
        <w:tc>
          <w:tcPr>
            <w:tcW w:w="240" w:type="dxa"/>
            <w:vAlign w:val="bottom"/>
            <w:shd w:val="clear" w:color="auto" w:fill="395796"/>
          </w:tcPr>
          <w:p>
            <w:pPr>
              <w:spacing w:after="0"/>
              <w:rPr>
                <w:sz w:val="14"/>
                <w:szCs w:val="14"/>
                <w:color w:val="auto"/>
              </w:rPr>
            </w:pPr>
          </w:p>
        </w:tc>
        <w:tc>
          <w:tcPr>
            <w:tcW w:w="160" w:type="dxa"/>
            <w:vAlign w:val="bottom"/>
            <w:shd w:val="clear" w:color="auto" w:fill="395796"/>
          </w:tcPr>
          <w:p>
            <w:pPr>
              <w:spacing w:after="0"/>
              <w:rPr>
                <w:sz w:val="14"/>
                <w:szCs w:val="14"/>
                <w:color w:val="auto"/>
              </w:rPr>
            </w:pPr>
          </w:p>
        </w:tc>
        <w:tc>
          <w:tcPr>
            <w:tcW w:w="70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Value</w:t>
            </w:r>
          </w:p>
        </w:tc>
        <w:tc>
          <w:tcPr>
            <w:tcW w:w="40" w:type="dxa"/>
            <w:vAlign w:val="bottom"/>
            <w:shd w:val="clear" w:color="auto" w:fill="395796"/>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560" w:type="dxa"/>
            <w:vAlign w:val="bottom"/>
            <w:shd w:val="clear" w:color="auto" w:fill="395796"/>
          </w:tcPr>
          <w:p>
            <w:pPr>
              <w:spacing w:after="0"/>
              <w:rPr>
                <w:sz w:val="14"/>
                <w:szCs w:val="14"/>
                <w:color w:val="auto"/>
              </w:rPr>
            </w:pPr>
          </w:p>
        </w:tc>
        <w:tc>
          <w:tcPr>
            <w:tcW w:w="360" w:type="dxa"/>
            <w:vAlign w:val="bottom"/>
            <w:shd w:val="clear" w:color="auto" w:fill="395796"/>
          </w:tcPr>
          <w:p>
            <w:pPr>
              <w:spacing w:after="0"/>
              <w:rPr>
                <w:sz w:val="14"/>
                <w:szCs w:val="14"/>
                <w:color w:val="auto"/>
              </w:rPr>
            </w:pPr>
          </w:p>
        </w:tc>
        <w:tc>
          <w:tcPr>
            <w:tcW w:w="160" w:type="dxa"/>
            <w:vAlign w:val="bottom"/>
            <w:shd w:val="clear" w:color="auto" w:fill="395796"/>
          </w:tcPr>
          <w:p>
            <w:pPr>
              <w:spacing w:after="0"/>
              <w:rPr>
                <w:sz w:val="14"/>
                <w:szCs w:val="14"/>
                <w:color w:val="auto"/>
              </w:rPr>
            </w:pPr>
          </w:p>
        </w:tc>
        <w:tc>
          <w:tcPr>
            <w:tcW w:w="860" w:type="dxa"/>
            <w:vAlign w:val="bottom"/>
            <w:shd w:val="clear" w:color="auto" w:fill="395796"/>
          </w:tcPr>
          <w:p>
            <w:pPr>
              <w:spacing w:after="0"/>
              <w:rPr>
                <w:sz w:val="14"/>
                <w:szCs w:val="14"/>
                <w:color w:val="auto"/>
              </w:rPr>
            </w:pPr>
          </w:p>
        </w:tc>
        <w:tc>
          <w:tcPr>
            <w:tcW w:w="300" w:type="dxa"/>
            <w:vAlign w:val="bottom"/>
            <w:shd w:val="clear" w:color="auto" w:fill="395796"/>
          </w:tcPr>
          <w:p>
            <w:pPr>
              <w:spacing w:after="0"/>
              <w:rPr>
                <w:sz w:val="14"/>
                <w:szCs w:val="14"/>
                <w:color w:val="auto"/>
              </w:rPr>
            </w:pPr>
          </w:p>
        </w:tc>
        <w:tc>
          <w:tcPr>
            <w:tcW w:w="60" w:type="dxa"/>
            <w:vAlign w:val="bottom"/>
            <w:shd w:val="clear" w:color="auto" w:fill="395796"/>
          </w:tcPr>
          <w:p>
            <w:pPr>
              <w:spacing w:after="0"/>
              <w:rPr>
                <w:sz w:val="14"/>
                <w:szCs w:val="14"/>
                <w:color w:val="auto"/>
              </w:rPr>
            </w:pPr>
          </w:p>
        </w:tc>
        <w:tc>
          <w:tcPr>
            <w:tcW w:w="800" w:type="dxa"/>
            <w:vAlign w:val="bottom"/>
            <w:shd w:val="clear" w:color="auto" w:fill="395796"/>
          </w:tcPr>
          <w:p>
            <w:pPr>
              <w:jc w:val="right"/>
              <w:ind w:right="60"/>
              <w:spacing w:after="0"/>
              <w:rPr>
                <w:sz w:val="20"/>
                <w:szCs w:val="20"/>
                <w:color w:val="auto"/>
              </w:rPr>
            </w:pPr>
            <w:r>
              <w:rPr>
                <w:rFonts w:ascii="Arial" w:cs="Arial" w:eastAsia="Arial" w:hAnsi="Arial"/>
                <w:sz w:val="14"/>
                <w:szCs w:val="14"/>
                <w:b w:val="1"/>
                <w:bCs w:val="1"/>
                <w:color w:val="FFFFFF"/>
              </w:rPr>
              <w:t>Shares</w:t>
            </w:r>
          </w:p>
        </w:tc>
        <w:tc>
          <w:tcPr>
            <w:tcW w:w="240" w:type="dxa"/>
            <w:vAlign w:val="bottom"/>
            <w:shd w:val="clear" w:color="auto" w:fill="395796"/>
          </w:tcPr>
          <w:p>
            <w:pPr>
              <w:spacing w:after="0"/>
              <w:rPr>
                <w:sz w:val="14"/>
                <w:szCs w:val="14"/>
                <w:color w:val="auto"/>
              </w:rPr>
            </w:pPr>
          </w:p>
        </w:tc>
        <w:tc>
          <w:tcPr>
            <w:tcW w:w="160" w:type="dxa"/>
            <w:vAlign w:val="bottom"/>
            <w:shd w:val="clear" w:color="auto" w:fill="395796"/>
          </w:tcPr>
          <w:p>
            <w:pPr>
              <w:spacing w:after="0"/>
              <w:rPr>
                <w:sz w:val="14"/>
                <w:szCs w:val="14"/>
                <w:color w:val="auto"/>
              </w:rPr>
            </w:pPr>
          </w:p>
        </w:tc>
        <w:tc>
          <w:tcPr>
            <w:tcW w:w="70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of Shares</w:t>
            </w:r>
          </w:p>
        </w:tc>
        <w:tc>
          <w:tcPr>
            <w:tcW w:w="40" w:type="dxa"/>
            <w:vAlign w:val="bottom"/>
            <w:shd w:val="clear" w:color="auto" w:fill="395796"/>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560" w:type="dxa"/>
            <w:vAlign w:val="bottom"/>
            <w:shd w:val="clear" w:color="auto" w:fill="395796"/>
          </w:tcPr>
          <w:p>
            <w:pPr>
              <w:spacing w:after="0"/>
              <w:rPr>
                <w:sz w:val="14"/>
                <w:szCs w:val="14"/>
                <w:color w:val="auto"/>
              </w:rPr>
            </w:pPr>
          </w:p>
        </w:tc>
        <w:tc>
          <w:tcPr>
            <w:tcW w:w="360" w:type="dxa"/>
            <w:vAlign w:val="bottom"/>
            <w:shd w:val="clear" w:color="auto" w:fill="395796"/>
          </w:tcPr>
          <w:p>
            <w:pPr>
              <w:spacing w:after="0"/>
              <w:rPr>
                <w:sz w:val="14"/>
                <w:szCs w:val="14"/>
                <w:color w:val="auto"/>
              </w:rPr>
            </w:pPr>
          </w:p>
        </w:tc>
        <w:tc>
          <w:tcPr>
            <w:tcW w:w="160" w:type="dxa"/>
            <w:vAlign w:val="bottom"/>
            <w:shd w:val="clear" w:color="auto" w:fill="395796"/>
          </w:tcPr>
          <w:p>
            <w:pPr>
              <w:spacing w:after="0"/>
              <w:rPr>
                <w:sz w:val="14"/>
                <w:szCs w:val="14"/>
                <w:color w:val="auto"/>
              </w:rPr>
            </w:pPr>
          </w:p>
        </w:tc>
        <w:tc>
          <w:tcPr>
            <w:tcW w:w="860" w:type="dxa"/>
            <w:vAlign w:val="bottom"/>
            <w:shd w:val="clear" w:color="auto" w:fill="395796"/>
          </w:tcPr>
          <w:p>
            <w:pPr>
              <w:spacing w:after="0"/>
              <w:rPr>
                <w:sz w:val="14"/>
                <w:szCs w:val="14"/>
                <w:color w:val="auto"/>
              </w:rPr>
            </w:pPr>
          </w:p>
        </w:tc>
        <w:tc>
          <w:tcPr>
            <w:tcW w:w="300" w:type="dxa"/>
            <w:vAlign w:val="bottom"/>
            <w:shd w:val="clear" w:color="auto" w:fill="395796"/>
          </w:tcPr>
          <w:p>
            <w:pPr>
              <w:spacing w:after="0"/>
              <w:rPr>
                <w:sz w:val="14"/>
                <w:szCs w:val="14"/>
                <w:color w:val="auto"/>
              </w:rPr>
            </w:pPr>
          </w:p>
        </w:tc>
        <w:tc>
          <w:tcPr>
            <w:tcW w:w="60" w:type="dxa"/>
            <w:vAlign w:val="bottom"/>
            <w:shd w:val="clear" w:color="auto" w:fill="395796"/>
          </w:tcPr>
          <w:p>
            <w:pPr>
              <w:spacing w:after="0"/>
              <w:rPr>
                <w:sz w:val="14"/>
                <w:szCs w:val="14"/>
                <w:color w:val="auto"/>
              </w:rPr>
            </w:pPr>
          </w:p>
        </w:tc>
        <w:tc>
          <w:tcPr>
            <w:tcW w:w="800" w:type="dxa"/>
            <w:vAlign w:val="bottom"/>
            <w:shd w:val="clear" w:color="auto" w:fill="395796"/>
          </w:tcPr>
          <w:p>
            <w:pPr>
              <w:jc w:val="right"/>
              <w:ind w:right="60"/>
              <w:spacing w:after="0"/>
              <w:rPr>
                <w:sz w:val="20"/>
                <w:szCs w:val="20"/>
                <w:color w:val="auto"/>
              </w:rPr>
            </w:pPr>
            <w:r>
              <w:rPr>
                <w:rFonts w:ascii="Arial" w:cs="Arial" w:eastAsia="Arial" w:hAnsi="Arial"/>
                <w:sz w:val="14"/>
                <w:szCs w:val="14"/>
                <w:b w:val="1"/>
                <w:bCs w:val="1"/>
                <w:color w:val="FFFFFF"/>
              </w:rPr>
              <w:t>of Stock</w:t>
            </w:r>
          </w:p>
        </w:tc>
        <w:tc>
          <w:tcPr>
            <w:tcW w:w="240" w:type="dxa"/>
            <w:vAlign w:val="bottom"/>
            <w:shd w:val="clear" w:color="auto" w:fill="395796"/>
          </w:tcPr>
          <w:p>
            <w:pPr>
              <w:spacing w:after="0"/>
              <w:rPr>
                <w:sz w:val="14"/>
                <w:szCs w:val="14"/>
                <w:color w:val="auto"/>
              </w:rPr>
            </w:pPr>
          </w:p>
        </w:tc>
        <w:tc>
          <w:tcPr>
            <w:tcW w:w="160" w:type="dxa"/>
            <w:vAlign w:val="bottom"/>
            <w:shd w:val="clear" w:color="auto" w:fill="395796"/>
          </w:tcPr>
          <w:p>
            <w:pPr>
              <w:spacing w:after="0"/>
              <w:rPr>
                <w:sz w:val="14"/>
                <w:szCs w:val="14"/>
                <w:color w:val="auto"/>
              </w:rPr>
            </w:pPr>
          </w:p>
        </w:tc>
        <w:tc>
          <w:tcPr>
            <w:tcW w:w="70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of Stock</w:t>
            </w:r>
          </w:p>
        </w:tc>
        <w:tc>
          <w:tcPr>
            <w:tcW w:w="40" w:type="dxa"/>
            <w:vAlign w:val="bottom"/>
            <w:shd w:val="clear" w:color="auto" w:fill="395796"/>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560" w:type="dxa"/>
            <w:vAlign w:val="bottom"/>
            <w:shd w:val="clear" w:color="auto" w:fill="395796"/>
          </w:tcPr>
          <w:p>
            <w:pPr>
              <w:spacing w:after="0"/>
              <w:rPr>
                <w:sz w:val="14"/>
                <w:szCs w:val="14"/>
                <w:color w:val="auto"/>
              </w:rPr>
            </w:pPr>
          </w:p>
        </w:tc>
        <w:tc>
          <w:tcPr>
            <w:tcW w:w="360" w:type="dxa"/>
            <w:vAlign w:val="bottom"/>
            <w:shd w:val="clear" w:color="auto" w:fill="395796"/>
          </w:tcPr>
          <w:p>
            <w:pPr>
              <w:spacing w:after="0"/>
              <w:rPr>
                <w:sz w:val="14"/>
                <w:szCs w:val="14"/>
                <w:color w:val="auto"/>
              </w:rPr>
            </w:pPr>
          </w:p>
        </w:tc>
        <w:tc>
          <w:tcPr>
            <w:tcW w:w="160" w:type="dxa"/>
            <w:vAlign w:val="bottom"/>
            <w:shd w:val="clear" w:color="auto" w:fill="395796"/>
          </w:tcPr>
          <w:p>
            <w:pPr>
              <w:spacing w:after="0"/>
              <w:rPr>
                <w:sz w:val="14"/>
                <w:szCs w:val="14"/>
                <w:color w:val="auto"/>
              </w:rPr>
            </w:pPr>
          </w:p>
        </w:tc>
        <w:tc>
          <w:tcPr>
            <w:tcW w:w="860" w:type="dxa"/>
            <w:vAlign w:val="bottom"/>
            <w:shd w:val="clear" w:color="auto" w:fill="395796"/>
          </w:tcPr>
          <w:p>
            <w:pPr>
              <w:spacing w:after="0"/>
              <w:rPr>
                <w:sz w:val="14"/>
                <w:szCs w:val="14"/>
                <w:color w:val="auto"/>
              </w:rPr>
            </w:pPr>
          </w:p>
        </w:tc>
        <w:tc>
          <w:tcPr>
            <w:tcW w:w="300" w:type="dxa"/>
            <w:vAlign w:val="bottom"/>
            <w:shd w:val="clear" w:color="auto" w:fill="395796"/>
          </w:tcPr>
          <w:p>
            <w:pPr>
              <w:spacing w:after="0"/>
              <w:rPr>
                <w:sz w:val="14"/>
                <w:szCs w:val="14"/>
                <w:color w:val="auto"/>
              </w:rPr>
            </w:pPr>
          </w:p>
        </w:tc>
        <w:tc>
          <w:tcPr>
            <w:tcW w:w="60" w:type="dxa"/>
            <w:vAlign w:val="bottom"/>
            <w:shd w:val="clear" w:color="auto" w:fill="395796"/>
          </w:tcPr>
          <w:p>
            <w:pPr>
              <w:spacing w:after="0"/>
              <w:rPr>
                <w:sz w:val="14"/>
                <w:szCs w:val="14"/>
                <w:color w:val="auto"/>
              </w:rPr>
            </w:pPr>
          </w:p>
        </w:tc>
        <w:tc>
          <w:tcPr>
            <w:tcW w:w="800" w:type="dxa"/>
            <w:vAlign w:val="bottom"/>
            <w:shd w:val="clear" w:color="auto" w:fill="395796"/>
          </w:tcPr>
          <w:p>
            <w:pPr>
              <w:jc w:val="right"/>
              <w:ind w:right="60"/>
              <w:spacing w:after="0"/>
              <w:rPr>
                <w:sz w:val="20"/>
                <w:szCs w:val="20"/>
                <w:color w:val="auto"/>
              </w:rPr>
            </w:pPr>
            <w:r>
              <w:rPr>
                <w:rFonts w:ascii="Arial" w:cs="Arial" w:eastAsia="Arial" w:hAnsi="Arial"/>
                <w:sz w:val="14"/>
                <w:szCs w:val="14"/>
                <w:b w:val="1"/>
                <w:bCs w:val="1"/>
                <w:color w:val="FFFFFF"/>
                <w:w w:val="95"/>
              </w:rPr>
              <w:t>That Have</w:t>
            </w:r>
          </w:p>
        </w:tc>
        <w:tc>
          <w:tcPr>
            <w:tcW w:w="240" w:type="dxa"/>
            <w:vAlign w:val="bottom"/>
            <w:shd w:val="clear" w:color="auto" w:fill="395796"/>
          </w:tcPr>
          <w:p>
            <w:pPr>
              <w:spacing w:after="0"/>
              <w:rPr>
                <w:sz w:val="14"/>
                <w:szCs w:val="14"/>
                <w:color w:val="auto"/>
              </w:rPr>
            </w:pPr>
          </w:p>
        </w:tc>
        <w:tc>
          <w:tcPr>
            <w:tcW w:w="160" w:type="dxa"/>
            <w:vAlign w:val="bottom"/>
            <w:shd w:val="clear" w:color="auto" w:fill="395796"/>
          </w:tcPr>
          <w:p>
            <w:pPr>
              <w:spacing w:after="0"/>
              <w:rPr>
                <w:sz w:val="14"/>
                <w:szCs w:val="14"/>
                <w:color w:val="auto"/>
              </w:rPr>
            </w:pPr>
          </w:p>
        </w:tc>
        <w:tc>
          <w:tcPr>
            <w:tcW w:w="70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w w:val="95"/>
              </w:rPr>
              <w:t>That Have</w:t>
            </w:r>
          </w:p>
        </w:tc>
        <w:tc>
          <w:tcPr>
            <w:tcW w:w="40" w:type="dxa"/>
            <w:vAlign w:val="bottom"/>
            <w:shd w:val="clear" w:color="auto" w:fill="395796"/>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560" w:type="dxa"/>
            <w:vAlign w:val="bottom"/>
            <w:shd w:val="clear" w:color="auto" w:fill="395796"/>
          </w:tcPr>
          <w:p>
            <w:pPr>
              <w:spacing w:after="0"/>
              <w:rPr>
                <w:sz w:val="12"/>
                <w:szCs w:val="12"/>
                <w:color w:val="auto"/>
              </w:rPr>
            </w:pPr>
          </w:p>
        </w:tc>
        <w:tc>
          <w:tcPr>
            <w:tcW w:w="360" w:type="dxa"/>
            <w:vAlign w:val="bottom"/>
            <w:shd w:val="clear" w:color="auto" w:fill="395796"/>
          </w:tcPr>
          <w:p>
            <w:pPr>
              <w:spacing w:after="0"/>
              <w:rPr>
                <w:sz w:val="12"/>
                <w:szCs w:val="12"/>
                <w:color w:val="auto"/>
              </w:rPr>
            </w:pPr>
          </w:p>
        </w:tc>
        <w:tc>
          <w:tcPr>
            <w:tcW w:w="160" w:type="dxa"/>
            <w:vAlign w:val="bottom"/>
            <w:shd w:val="clear" w:color="auto" w:fill="395796"/>
          </w:tcPr>
          <w:p>
            <w:pPr>
              <w:spacing w:after="0"/>
              <w:rPr>
                <w:sz w:val="12"/>
                <w:szCs w:val="12"/>
                <w:color w:val="auto"/>
              </w:rPr>
            </w:pPr>
          </w:p>
        </w:tc>
        <w:tc>
          <w:tcPr>
            <w:tcW w:w="860" w:type="dxa"/>
            <w:vAlign w:val="bottom"/>
            <w:shd w:val="clear" w:color="auto" w:fill="395796"/>
          </w:tcPr>
          <w:p>
            <w:pPr>
              <w:spacing w:after="0"/>
              <w:rPr>
                <w:sz w:val="12"/>
                <w:szCs w:val="12"/>
                <w:color w:val="auto"/>
              </w:rPr>
            </w:pPr>
          </w:p>
        </w:tc>
        <w:tc>
          <w:tcPr>
            <w:tcW w:w="300" w:type="dxa"/>
            <w:vAlign w:val="bottom"/>
            <w:shd w:val="clear" w:color="auto" w:fill="395796"/>
          </w:tcPr>
          <w:p>
            <w:pPr>
              <w:spacing w:after="0"/>
              <w:rPr>
                <w:sz w:val="12"/>
                <w:szCs w:val="12"/>
                <w:color w:val="auto"/>
              </w:rPr>
            </w:pPr>
          </w:p>
        </w:tc>
        <w:tc>
          <w:tcPr>
            <w:tcW w:w="860" w:type="dxa"/>
            <w:vAlign w:val="bottom"/>
            <w:gridSpan w:val="2"/>
            <w:shd w:val="clear" w:color="auto" w:fill="395796"/>
          </w:tcPr>
          <w:p>
            <w:pPr>
              <w:jc w:val="right"/>
              <w:ind w:right="60"/>
              <w:spacing w:after="0" w:line="149" w:lineRule="exact"/>
              <w:rPr>
                <w:sz w:val="20"/>
                <w:szCs w:val="20"/>
                <w:color w:val="auto"/>
              </w:rPr>
            </w:pPr>
            <w:r>
              <w:rPr>
                <w:rFonts w:ascii="Arial" w:cs="Arial" w:eastAsia="Arial" w:hAnsi="Arial"/>
                <w:sz w:val="14"/>
                <w:szCs w:val="14"/>
                <w:b w:val="1"/>
                <w:bCs w:val="1"/>
                <w:color w:val="FFFFFF"/>
                <w:w w:val="95"/>
              </w:rPr>
              <w:t>Not Vested</w:t>
            </w:r>
          </w:p>
        </w:tc>
        <w:tc>
          <w:tcPr>
            <w:tcW w:w="240" w:type="dxa"/>
            <w:vAlign w:val="bottom"/>
            <w:shd w:val="clear" w:color="auto" w:fill="395796"/>
          </w:tcPr>
          <w:p>
            <w:pPr>
              <w:spacing w:after="0"/>
              <w:rPr>
                <w:sz w:val="12"/>
                <w:szCs w:val="12"/>
                <w:color w:val="auto"/>
              </w:rPr>
            </w:pPr>
          </w:p>
        </w:tc>
        <w:tc>
          <w:tcPr>
            <w:tcW w:w="160" w:type="dxa"/>
            <w:vAlign w:val="bottom"/>
            <w:shd w:val="clear" w:color="auto" w:fill="395796"/>
          </w:tcPr>
          <w:p>
            <w:pPr>
              <w:spacing w:after="0"/>
              <w:rPr>
                <w:sz w:val="12"/>
                <w:szCs w:val="12"/>
                <w:color w:val="auto"/>
              </w:rPr>
            </w:pPr>
          </w:p>
        </w:tc>
        <w:tc>
          <w:tcPr>
            <w:tcW w:w="700" w:type="dxa"/>
            <w:vAlign w:val="bottom"/>
            <w:shd w:val="clear" w:color="auto" w:fill="395796"/>
          </w:tcPr>
          <w:p>
            <w:pPr>
              <w:jc w:val="right"/>
              <w:spacing w:after="0" w:line="149" w:lineRule="exact"/>
              <w:rPr>
                <w:sz w:val="20"/>
                <w:szCs w:val="20"/>
                <w:color w:val="auto"/>
              </w:rPr>
            </w:pPr>
            <w:r>
              <w:rPr>
                <w:rFonts w:ascii="Arial" w:cs="Arial" w:eastAsia="Arial" w:hAnsi="Arial"/>
                <w:sz w:val="14"/>
                <w:szCs w:val="14"/>
                <w:b w:val="1"/>
                <w:bCs w:val="1"/>
                <w:color w:val="FFFFFF"/>
              </w:rPr>
              <w:t>Not</w:t>
            </w:r>
          </w:p>
        </w:tc>
        <w:tc>
          <w:tcPr>
            <w:tcW w:w="40" w:type="dxa"/>
            <w:vAlign w:val="bottom"/>
            <w:shd w:val="clear" w:color="auto" w:fill="395796"/>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5560" w:type="dxa"/>
            <w:vAlign w:val="bottom"/>
            <w:shd w:val="clear" w:color="auto" w:fill="395796"/>
          </w:tcPr>
          <w:p>
            <w:pPr>
              <w:spacing w:after="0" w:line="157" w:lineRule="exact"/>
              <w:rPr>
                <w:sz w:val="20"/>
                <w:szCs w:val="20"/>
                <w:color w:val="auto"/>
              </w:rPr>
            </w:pPr>
            <w:r>
              <w:rPr>
                <w:rFonts w:ascii="Arial" w:cs="Arial" w:eastAsia="Arial" w:hAnsi="Arial"/>
                <w:sz w:val="14"/>
                <w:szCs w:val="14"/>
                <w:b w:val="1"/>
                <w:bCs w:val="1"/>
                <w:color w:val="FFFFFF"/>
              </w:rPr>
              <w:t>Name</w:t>
            </w:r>
          </w:p>
        </w:tc>
        <w:tc>
          <w:tcPr>
            <w:tcW w:w="360" w:type="dxa"/>
            <w:vAlign w:val="bottom"/>
            <w:vMerge w:val="restart"/>
            <w:shd w:val="clear" w:color="auto" w:fill="395796"/>
          </w:tcPr>
          <w:p>
            <w:pPr>
              <w:ind w:left="220"/>
              <w:spacing w:after="0"/>
              <w:rPr>
                <w:sz w:val="20"/>
                <w:szCs w:val="20"/>
                <w:color w:val="auto"/>
              </w:rPr>
            </w:pPr>
            <w:r>
              <w:rPr>
                <w:rFonts w:ascii="Arial" w:cs="Arial" w:eastAsia="Arial" w:hAnsi="Arial"/>
                <w:sz w:val="14"/>
                <w:szCs w:val="14"/>
                <w:b w:val="1"/>
                <w:bCs w:val="1"/>
                <w:color w:val="FFFFFF"/>
              </w:rPr>
              <w:t>​</w:t>
            </w:r>
          </w:p>
        </w:tc>
        <w:tc>
          <w:tcPr>
            <w:tcW w:w="160" w:type="dxa"/>
            <w:vAlign w:val="bottom"/>
            <w:vMerge w:val="restart"/>
            <w:shd w:val="clear" w:color="auto" w:fill="395796"/>
          </w:tcPr>
          <w:p>
            <w:pPr>
              <w:ind w:left="80"/>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395796"/>
          </w:tcPr>
          <w:p>
            <w:pPr>
              <w:jc w:val="right"/>
              <w:ind w:right="48"/>
              <w:spacing w:after="0" w:line="157" w:lineRule="exact"/>
              <w:rPr>
                <w:sz w:val="20"/>
                <w:szCs w:val="20"/>
                <w:color w:val="auto"/>
              </w:rPr>
            </w:pPr>
            <w:r>
              <w:rPr>
                <w:rFonts w:ascii="Arial" w:cs="Arial" w:eastAsia="Arial" w:hAnsi="Arial"/>
                <w:sz w:val="14"/>
                <w:szCs w:val="14"/>
                <w:b w:val="1"/>
                <w:bCs w:val="1"/>
                <w:color w:val="FFFFFF"/>
              </w:rPr>
              <w:t>Grant Date</w:t>
            </w:r>
          </w:p>
        </w:tc>
        <w:tc>
          <w:tcPr>
            <w:tcW w:w="300" w:type="dxa"/>
            <w:vAlign w:val="bottom"/>
            <w:vMerge w:val="restart"/>
            <w:shd w:val="clear" w:color="auto" w:fill="395796"/>
          </w:tcPr>
          <w:p>
            <w:pPr>
              <w:ind w:left="100"/>
              <w:spacing w:after="0"/>
              <w:rPr>
                <w:sz w:val="20"/>
                <w:szCs w:val="20"/>
                <w:color w:val="auto"/>
              </w:rPr>
            </w:pPr>
            <w:r>
              <w:rPr>
                <w:rFonts w:ascii="Arial" w:cs="Arial" w:eastAsia="Arial" w:hAnsi="Arial"/>
                <w:sz w:val="14"/>
                <w:szCs w:val="14"/>
                <w:b w:val="1"/>
                <w:bCs w:val="1"/>
                <w:color w:val="FFFFFF"/>
              </w:rPr>
              <w:t>​</w:t>
            </w:r>
          </w:p>
        </w:tc>
        <w:tc>
          <w:tcPr>
            <w:tcW w:w="60" w:type="dxa"/>
            <w:vAlign w:val="bottom"/>
            <w:vMerge w:val="restart"/>
            <w:shd w:val="clear" w:color="auto" w:fill="395796"/>
          </w:tcPr>
          <w:p>
            <w:pPr>
              <w:ind w:left="20"/>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395796"/>
          </w:tcPr>
          <w:p>
            <w:pPr>
              <w:jc w:val="right"/>
              <w:ind w:right="40"/>
              <w:spacing w:after="0" w:line="157" w:lineRule="exact"/>
              <w:rPr>
                <w:sz w:val="20"/>
                <w:szCs w:val="20"/>
                <w:color w:val="auto"/>
              </w:rPr>
            </w:pPr>
            <w:r>
              <w:rPr>
                <w:rFonts w:ascii="Arial" w:cs="Arial" w:eastAsia="Arial" w:hAnsi="Arial"/>
                <w:sz w:val="14"/>
                <w:szCs w:val="14"/>
                <w:b w:val="1"/>
                <w:bCs w:val="1"/>
                <w:color w:val="FFFFFF"/>
              </w:rPr>
              <w:t>(#)</w:t>
            </w:r>
          </w:p>
        </w:tc>
        <w:tc>
          <w:tcPr>
            <w:tcW w:w="240" w:type="dxa"/>
            <w:vAlign w:val="bottom"/>
            <w:vMerge w:val="restart"/>
            <w:shd w:val="clear" w:color="auto" w:fill="395796"/>
          </w:tcPr>
          <w:p>
            <w:pPr>
              <w:ind w:left="120"/>
              <w:spacing w:after="0"/>
              <w:rPr>
                <w:sz w:val="20"/>
                <w:szCs w:val="20"/>
                <w:color w:val="auto"/>
              </w:rPr>
            </w:pPr>
            <w:r>
              <w:rPr>
                <w:rFonts w:ascii="Arial" w:cs="Arial" w:eastAsia="Arial" w:hAnsi="Arial"/>
                <w:sz w:val="14"/>
                <w:szCs w:val="14"/>
                <w:b w:val="1"/>
                <w:bCs w:val="1"/>
                <w:color w:val="FFFFFF"/>
              </w:rPr>
              <w:t>​</w:t>
            </w:r>
          </w:p>
        </w:tc>
        <w:tc>
          <w:tcPr>
            <w:tcW w:w="860" w:type="dxa"/>
            <w:vAlign w:val="bottom"/>
            <w:gridSpan w:val="2"/>
            <w:shd w:val="clear" w:color="auto" w:fill="395796"/>
          </w:tcPr>
          <w:p>
            <w:pPr>
              <w:jc w:val="right"/>
              <w:spacing w:after="0" w:line="157" w:lineRule="exact"/>
              <w:rPr>
                <w:sz w:val="20"/>
                <w:szCs w:val="20"/>
                <w:color w:val="auto"/>
              </w:rPr>
            </w:pPr>
            <w:r>
              <w:rPr>
                <w:rFonts w:ascii="Arial" w:cs="Arial" w:eastAsia="Arial" w:hAnsi="Arial"/>
                <w:sz w:val="14"/>
                <w:szCs w:val="14"/>
                <w:b w:val="1"/>
                <w:bCs w:val="1"/>
                <w:color w:val="FFFFFF"/>
              </w:rPr>
              <w:t>Vested ($)</w:t>
            </w:r>
            <w:r>
              <w:rPr>
                <w:rFonts w:ascii="Arial" w:cs="Arial" w:eastAsia="Arial" w:hAnsi="Arial"/>
                <w:sz w:val="17"/>
                <w:szCs w:val="17"/>
                <w:b w:val="1"/>
                <w:bCs w:val="1"/>
                <w:color w:val="FFFFFF"/>
                <w:vertAlign w:val="superscript"/>
              </w:rPr>
              <w:t>(1)</w:t>
            </w:r>
          </w:p>
        </w:tc>
        <w:tc>
          <w:tcPr>
            <w:tcW w:w="40" w:type="dxa"/>
            <w:vAlign w:val="bottom"/>
            <w:shd w:val="clear" w:color="auto" w:fill="395796"/>
          </w:tcPr>
          <w:p>
            <w:pPr>
              <w:spacing w:after="0"/>
              <w:rPr>
                <w:sz w:val="13"/>
                <w:szCs w:val="13"/>
                <w:color w:val="auto"/>
              </w:rPr>
            </w:pP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560" w:type="dxa"/>
            <w:vAlign w:val="bottom"/>
            <w:shd w:val="clear" w:color="auto" w:fill="395796"/>
          </w:tcPr>
          <w:p>
            <w:pPr>
              <w:spacing w:after="0" w:line="54" w:lineRule="exact"/>
              <w:rPr>
                <w:sz w:val="20"/>
                <w:szCs w:val="20"/>
                <w:color w:val="auto"/>
              </w:rPr>
            </w:pPr>
            <w:r>
              <w:rPr>
                <w:rFonts w:ascii="Arial" w:cs="Arial" w:eastAsia="Arial" w:hAnsi="Arial"/>
                <w:sz w:val="6"/>
                <w:szCs w:val="6"/>
                <w:b w:val="1"/>
                <w:bCs w:val="1"/>
                <w:color w:val="FFFFFF"/>
              </w:rPr>
              <w:t>​</w:t>
            </w:r>
          </w:p>
        </w:tc>
        <w:tc>
          <w:tcPr>
            <w:tcW w:w="360" w:type="dxa"/>
            <w:vAlign w:val="bottom"/>
            <w:vMerge w:val="continue"/>
            <w:shd w:val="clear" w:color="auto" w:fill="395796"/>
          </w:tcPr>
          <w:p>
            <w:pPr>
              <w:spacing w:after="0"/>
              <w:rPr>
                <w:sz w:val="4"/>
                <w:szCs w:val="4"/>
                <w:color w:val="auto"/>
              </w:rPr>
            </w:pPr>
          </w:p>
        </w:tc>
        <w:tc>
          <w:tcPr>
            <w:tcW w:w="160" w:type="dxa"/>
            <w:vAlign w:val="bottom"/>
            <w:vMerge w:val="continue"/>
            <w:shd w:val="clear" w:color="auto" w:fill="395796"/>
          </w:tcPr>
          <w:p>
            <w:pPr>
              <w:spacing w:after="0"/>
              <w:rPr>
                <w:sz w:val="4"/>
                <w:szCs w:val="4"/>
                <w:color w:val="auto"/>
              </w:rPr>
            </w:pPr>
          </w:p>
        </w:tc>
        <w:tc>
          <w:tcPr>
            <w:tcW w:w="860" w:type="dxa"/>
            <w:vAlign w:val="bottom"/>
            <w:shd w:val="clear" w:color="auto" w:fill="395796"/>
          </w:tcPr>
          <w:p>
            <w:pPr>
              <w:spacing w:after="0"/>
              <w:rPr>
                <w:sz w:val="4"/>
                <w:szCs w:val="4"/>
                <w:color w:val="auto"/>
              </w:rPr>
            </w:pPr>
          </w:p>
        </w:tc>
        <w:tc>
          <w:tcPr>
            <w:tcW w:w="300" w:type="dxa"/>
            <w:vAlign w:val="bottom"/>
            <w:vMerge w:val="continue"/>
            <w:shd w:val="clear" w:color="auto" w:fill="395796"/>
          </w:tcPr>
          <w:p>
            <w:pPr>
              <w:spacing w:after="0"/>
              <w:rPr>
                <w:sz w:val="4"/>
                <w:szCs w:val="4"/>
                <w:color w:val="auto"/>
              </w:rPr>
            </w:pPr>
          </w:p>
        </w:tc>
        <w:tc>
          <w:tcPr>
            <w:tcW w:w="60" w:type="dxa"/>
            <w:vAlign w:val="bottom"/>
            <w:vMerge w:val="continue"/>
            <w:shd w:val="clear" w:color="auto" w:fill="395796"/>
          </w:tcPr>
          <w:p>
            <w:pPr>
              <w:spacing w:after="0"/>
              <w:rPr>
                <w:sz w:val="4"/>
                <w:szCs w:val="4"/>
                <w:color w:val="auto"/>
              </w:rPr>
            </w:pPr>
          </w:p>
        </w:tc>
        <w:tc>
          <w:tcPr>
            <w:tcW w:w="800" w:type="dxa"/>
            <w:vAlign w:val="bottom"/>
            <w:shd w:val="clear" w:color="auto" w:fill="395796"/>
          </w:tcPr>
          <w:p>
            <w:pPr>
              <w:spacing w:after="0"/>
              <w:rPr>
                <w:sz w:val="4"/>
                <w:szCs w:val="4"/>
                <w:color w:val="auto"/>
              </w:rPr>
            </w:pPr>
          </w:p>
        </w:tc>
        <w:tc>
          <w:tcPr>
            <w:tcW w:w="240" w:type="dxa"/>
            <w:vAlign w:val="bottom"/>
            <w:vMerge w:val="continue"/>
            <w:shd w:val="clear" w:color="auto" w:fill="395796"/>
          </w:tcPr>
          <w:p>
            <w:pPr>
              <w:spacing w:after="0"/>
              <w:rPr>
                <w:sz w:val="4"/>
                <w:szCs w:val="4"/>
                <w:color w:val="auto"/>
              </w:rPr>
            </w:pPr>
          </w:p>
        </w:tc>
        <w:tc>
          <w:tcPr>
            <w:tcW w:w="160" w:type="dxa"/>
            <w:vAlign w:val="bottom"/>
            <w:shd w:val="clear" w:color="auto" w:fill="395796"/>
          </w:tcPr>
          <w:p>
            <w:pPr>
              <w:ind w:left="80"/>
              <w:spacing w:after="0" w:line="54" w:lineRule="exact"/>
              <w:rPr>
                <w:sz w:val="20"/>
                <w:szCs w:val="20"/>
                <w:color w:val="auto"/>
              </w:rPr>
            </w:pPr>
            <w:r>
              <w:rPr>
                <w:rFonts w:ascii="Arial" w:cs="Arial" w:eastAsia="Arial" w:hAnsi="Arial"/>
                <w:sz w:val="6"/>
                <w:szCs w:val="6"/>
                <w:b w:val="1"/>
                <w:bCs w:val="1"/>
                <w:color w:val="FFFFFF"/>
              </w:rPr>
              <w:t>​</w:t>
            </w:r>
          </w:p>
        </w:tc>
        <w:tc>
          <w:tcPr>
            <w:tcW w:w="700" w:type="dxa"/>
            <w:vAlign w:val="bottom"/>
            <w:shd w:val="clear" w:color="auto" w:fill="395796"/>
          </w:tcPr>
          <w:p>
            <w:pPr>
              <w:spacing w:after="0"/>
              <w:rPr>
                <w:sz w:val="4"/>
                <w:szCs w:val="4"/>
                <w:color w:val="auto"/>
              </w:rPr>
            </w:pPr>
          </w:p>
        </w:tc>
        <w:tc>
          <w:tcPr>
            <w:tcW w:w="40" w:type="dxa"/>
            <w:vAlign w:val="bottom"/>
            <w:shd w:val="clear" w:color="auto" w:fill="395796"/>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David M. Tolley</w:t>
            </w:r>
          </w:p>
        </w:tc>
        <w:tc>
          <w:tcPr>
            <w:tcW w:w="36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8/21/2025</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40"/>
              <w:spacing w:after="0" w:line="230" w:lineRule="exact"/>
              <w:rPr>
                <w:sz w:val="20"/>
                <w:szCs w:val="20"/>
                <w:color w:val="auto"/>
              </w:rPr>
            </w:pPr>
            <w:r>
              <w:rPr>
                <w:rFonts w:ascii="Arial" w:cs="Arial" w:eastAsia="Arial" w:hAnsi="Arial"/>
                <w:sz w:val="18"/>
                <w:szCs w:val="18"/>
                <w:color w:val="auto"/>
                <w:w w:val="89"/>
              </w:rPr>
              <w:t>14,523</w:t>
            </w:r>
            <w:r>
              <w:rPr>
                <w:rFonts w:ascii="Arial" w:cs="Arial" w:eastAsia="Arial" w:hAnsi="Arial"/>
                <w:sz w:val="23"/>
                <w:szCs w:val="23"/>
                <w:color w:val="auto"/>
                <w:w w:val="89"/>
                <w:vertAlign w:val="superscript"/>
              </w:rPr>
              <w:t>(2)</w:t>
            </w: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101,225</w:t>
            </w:r>
          </w:p>
        </w:tc>
        <w:tc>
          <w:tcPr>
            <w:tcW w:w="40" w:type="dxa"/>
            <w:vAlign w:val="bottom"/>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560" w:type="dxa"/>
            <w:vAlign w:val="bottom"/>
          </w:tcPr>
          <w:p>
            <w:pPr>
              <w:spacing w:after="0" w:line="54" w:lineRule="exact"/>
              <w:rPr>
                <w:sz w:val="20"/>
                <w:szCs w:val="20"/>
                <w:color w:val="auto"/>
              </w:rPr>
            </w:pPr>
            <w:r>
              <w:rPr>
                <w:rFonts w:ascii="Arial" w:cs="Arial" w:eastAsia="Arial" w:hAnsi="Arial"/>
                <w:sz w:val="6"/>
                <w:szCs w:val="6"/>
                <w:color w:val="auto"/>
              </w:rPr>
              <w:t>​</w:t>
            </w:r>
          </w:p>
        </w:tc>
        <w:tc>
          <w:tcPr>
            <w:tcW w:w="3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D8D8D8"/>
          </w:tcPr>
          <w:p>
            <w:pPr>
              <w:spacing w:after="0"/>
              <w:rPr>
                <w:sz w:val="19"/>
                <w:szCs w:val="19"/>
                <w:color w:val="auto"/>
              </w:rPr>
            </w:pPr>
          </w:p>
        </w:tc>
        <w:tc>
          <w:tcPr>
            <w:tcW w:w="5560" w:type="dxa"/>
            <w:vAlign w:val="bottom"/>
            <w:shd w:val="clear" w:color="auto" w:fill="D8D8D8"/>
          </w:tcPr>
          <w:p>
            <w:pPr>
              <w:spacing w:after="0"/>
              <w:rPr>
                <w:sz w:val="20"/>
                <w:szCs w:val="20"/>
                <w:color w:val="auto"/>
              </w:rPr>
            </w:pPr>
            <w:r>
              <w:rPr>
                <w:rFonts w:ascii="Arial" w:cs="Arial" w:eastAsia="Arial" w:hAnsi="Arial"/>
                <w:sz w:val="18"/>
                <w:szCs w:val="18"/>
                <w:color w:val="auto"/>
              </w:rPr>
              <w:t>David B. Kagan</w:t>
            </w:r>
          </w:p>
        </w:tc>
        <w:tc>
          <w:tcPr>
            <w:tcW w:w="360" w:type="dxa"/>
            <w:vAlign w:val="bottom"/>
            <w:vMerge w:val="restart"/>
            <w:shd w:val="clear" w:color="auto" w:fill="D8D8D8"/>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8D8D8"/>
          </w:tcPr>
          <w:p>
            <w:pPr>
              <w:jc w:val="right"/>
              <w:ind w:right="48"/>
              <w:spacing w:after="0"/>
              <w:rPr>
                <w:sz w:val="20"/>
                <w:szCs w:val="20"/>
                <w:color w:val="auto"/>
              </w:rPr>
            </w:pPr>
            <w:r>
              <w:rPr>
                <w:rFonts w:ascii="Arial" w:cs="Arial" w:eastAsia="Arial" w:hAnsi="Arial"/>
                <w:sz w:val="18"/>
                <w:szCs w:val="18"/>
                <w:color w:val="auto"/>
              </w:rPr>
              <w:t>8/21/2025</w:t>
            </w:r>
          </w:p>
        </w:tc>
        <w:tc>
          <w:tcPr>
            <w:tcW w:w="300" w:type="dxa"/>
            <w:vAlign w:val="bottom"/>
            <w:vMerge w:val="restart"/>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6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40"/>
              <w:spacing w:after="0" w:line="230" w:lineRule="exact"/>
              <w:rPr>
                <w:sz w:val="20"/>
                <w:szCs w:val="20"/>
                <w:color w:val="auto"/>
              </w:rPr>
            </w:pPr>
            <w:r>
              <w:rPr>
                <w:rFonts w:ascii="Arial" w:cs="Arial" w:eastAsia="Arial" w:hAnsi="Arial"/>
                <w:sz w:val="18"/>
                <w:szCs w:val="18"/>
                <w:color w:val="auto"/>
                <w:w w:val="89"/>
              </w:rPr>
              <w:t>14,046</w:t>
            </w:r>
            <w:r>
              <w:rPr>
                <w:rFonts w:ascii="Arial" w:cs="Arial" w:eastAsia="Arial" w:hAnsi="Arial"/>
                <w:sz w:val="23"/>
                <w:szCs w:val="23"/>
                <w:color w:val="auto"/>
                <w:w w:val="89"/>
                <w:vertAlign w:val="superscript"/>
              </w:rPr>
              <w:t>(2)</w:t>
            </w:r>
          </w:p>
        </w:tc>
        <w:tc>
          <w:tcPr>
            <w:tcW w:w="240" w:type="dxa"/>
            <w:vAlign w:val="bottom"/>
            <w:vMerge w:val="restart"/>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97,901</w:t>
            </w:r>
          </w:p>
        </w:tc>
        <w:tc>
          <w:tcPr>
            <w:tcW w:w="40" w:type="dxa"/>
            <w:vAlign w:val="bottom"/>
            <w:shd w:val="clear" w:color="auto" w:fill="D8D8D8"/>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 w:type="dxa"/>
            <w:vAlign w:val="bottom"/>
            <w:shd w:val="clear" w:color="auto" w:fill="D8D8D8"/>
          </w:tcPr>
          <w:p>
            <w:pPr>
              <w:spacing w:after="0"/>
              <w:rPr>
                <w:sz w:val="4"/>
                <w:szCs w:val="4"/>
                <w:color w:val="auto"/>
              </w:rPr>
            </w:pPr>
          </w:p>
        </w:tc>
        <w:tc>
          <w:tcPr>
            <w:tcW w:w="5560" w:type="dxa"/>
            <w:vAlign w:val="bottom"/>
            <w:shd w:val="clear" w:color="auto" w:fill="D8D8D8"/>
          </w:tcPr>
          <w:p>
            <w:pPr>
              <w:spacing w:after="0" w:line="54" w:lineRule="exact"/>
              <w:rPr>
                <w:sz w:val="20"/>
                <w:szCs w:val="20"/>
                <w:color w:val="auto"/>
              </w:rPr>
            </w:pPr>
            <w:r>
              <w:rPr>
                <w:rFonts w:ascii="Arial" w:cs="Arial" w:eastAsia="Arial" w:hAnsi="Arial"/>
                <w:sz w:val="6"/>
                <w:szCs w:val="6"/>
                <w:color w:val="auto"/>
              </w:rPr>
              <w:t>​</w:t>
            </w:r>
          </w:p>
        </w:tc>
        <w:tc>
          <w:tcPr>
            <w:tcW w:w="360" w:type="dxa"/>
            <w:vAlign w:val="bottom"/>
            <w:vMerge w:val="continue"/>
            <w:shd w:val="clear" w:color="auto" w:fill="D8D8D8"/>
          </w:tcPr>
          <w:p>
            <w:pPr>
              <w:spacing w:after="0"/>
              <w:rPr>
                <w:sz w:val="4"/>
                <w:szCs w:val="4"/>
                <w:color w:val="auto"/>
              </w:rPr>
            </w:pPr>
          </w:p>
        </w:tc>
        <w:tc>
          <w:tcPr>
            <w:tcW w:w="160" w:type="dxa"/>
            <w:vAlign w:val="bottom"/>
            <w:shd w:val="clear" w:color="auto" w:fill="D8D8D8"/>
          </w:tcPr>
          <w:p>
            <w:pPr>
              <w:ind w:left="80"/>
              <w:spacing w:after="0" w:line="54" w:lineRule="exact"/>
              <w:rPr>
                <w:sz w:val="20"/>
                <w:szCs w:val="20"/>
                <w:color w:val="auto"/>
              </w:rPr>
            </w:pPr>
            <w:r>
              <w:rPr>
                <w:rFonts w:ascii="Arial" w:cs="Arial" w:eastAsia="Arial" w:hAnsi="Arial"/>
                <w:sz w:val="6"/>
                <w:szCs w:val="6"/>
                <w:color w:val="auto"/>
              </w:rPr>
              <w:t>​</w:t>
            </w:r>
          </w:p>
        </w:tc>
        <w:tc>
          <w:tcPr>
            <w:tcW w:w="860" w:type="dxa"/>
            <w:vAlign w:val="bottom"/>
            <w:shd w:val="clear" w:color="auto" w:fill="D8D8D8"/>
          </w:tcPr>
          <w:p>
            <w:pPr>
              <w:spacing w:after="0"/>
              <w:rPr>
                <w:sz w:val="4"/>
                <w:szCs w:val="4"/>
                <w:color w:val="auto"/>
              </w:rPr>
            </w:pPr>
          </w:p>
        </w:tc>
        <w:tc>
          <w:tcPr>
            <w:tcW w:w="300" w:type="dxa"/>
            <w:vAlign w:val="bottom"/>
            <w:vMerge w:val="continue"/>
            <w:shd w:val="clear" w:color="auto" w:fill="D8D8D8"/>
          </w:tcPr>
          <w:p>
            <w:pPr>
              <w:spacing w:after="0"/>
              <w:rPr>
                <w:sz w:val="4"/>
                <w:szCs w:val="4"/>
                <w:color w:val="auto"/>
              </w:rPr>
            </w:pPr>
          </w:p>
        </w:tc>
        <w:tc>
          <w:tcPr>
            <w:tcW w:w="60" w:type="dxa"/>
            <w:vAlign w:val="bottom"/>
            <w:vMerge w:val="continue"/>
            <w:shd w:val="clear" w:color="auto" w:fill="D8D8D8"/>
          </w:tcPr>
          <w:p>
            <w:pPr>
              <w:spacing w:after="0"/>
              <w:rPr>
                <w:sz w:val="4"/>
                <w:szCs w:val="4"/>
                <w:color w:val="auto"/>
              </w:rPr>
            </w:pPr>
          </w:p>
        </w:tc>
        <w:tc>
          <w:tcPr>
            <w:tcW w:w="800" w:type="dxa"/>
            <w:vAlign w:val="bottom"/>
            <w:shd w:val="clear" w:color="auto" w:fill="D8D8D8"/>
          </w:tcPr>
          <w:p>
            <w:pPr>
              <w:spacing w:after="0"/>
              <w:rPr>
                <w:sz w:val="4"/>
                <w:szCs w:val="4"/>
                <w:color w:val="auto"/>
              </w:rPr>
            </w:pPr>
          </w:p>
        </w:tc>
        <w:tc>
          <w:tcPr>
            <w:tcW w:w="240" w:type="dxa"/>
            <w:vAlign w:val="bottom"/>
            <w:vMerge w:val="continue"/>
            <w:shd w:val="clear" w:color="auto" w:fill="D8D8D8"/>
          </w:tcPr>
          <w:p>
            <w:pPr>
              <w:spacing w:after="0"/>
              <w:rPr>
                <w:sz w:val="4"/>
                <w:szCs w:val="4"/>
                <w:color w:val="auto"/>
              </w:rPr>
            </w:pPr>
          </w:p>
        </w:tc>
        <w:tc>
          <w:tcPr>
            <w:tcW w:w="160" w:type="dxa"/>
            <w:vAlign w:val="bottom"/>
            <w:vMerge w:val="continue"/>
            <w:shd w:val="clear" w:color="auto" w:fill="D8D8D8"/>
          </w:tcPr>
          <w:p>
            <w:pPr>
              <w:spacing w:after="0"/>
              <w:rPr>
                <w:sz w:val="4"/>
                <w:szCs w:val="4"/>
                <w:color w:val="auto"/>
              </w:rPr>
            </w:pPr>
          </w:p>
        </w:tc>
        <w:tc>
          <w:tcPr>
            <w:tcW w:w="700" w:type="dxa"/>
            <w:vAlign w:val="bottom"/>
            <w:shd w:val="clear" w:color="auto" w:fill="D8D8D8"/>
          </w:tcPr>
          <w:p>
            <w:pPr>
              <w:spacing w:after="0"/>
              <w:rPr>
                <w:sz w:val="4"/>
                <w:szCs w:val="4"/>
                <w:color w:val="auto"/>
              </w:rPr>
            </w:pPr>
          </w:p>
        </w:tc>
        <w:tc>
          <w:tcPr>
            <w:tcW w:w="40" w:type="dxa"/>
            <w:vAlign w:val="bottom"/>
            <w:shd w:val="clear" w:color="auto" w:fill="D8D8D8"/>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Stephen Deckoff</w:t>
            </w:r>
          </w:p>
        </w:tc>
        <w:tc>
          <w:tcPr>
            <w:tcW w:w="360" w:type="dxa"/>
            <w:vAlign w:val="bottom"/>
            <w:vMerge w:val="restart"/>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8/21/2025</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40"/>
              <w:spacing w:after="0" w:line="230" w:lineRule="exact"/>
              <w:rPr>
                <w:sz w:val="20"/>
                <w:szCs w:val="20"/>
                <w:color w:val="auto"/>
              </w:rPr>
            </w:pPr>
            <w:r>
              <w:rPr>
                <w:rFonts w:ascii="Arial" w:cs="Arial" w:eastAsia="Arial" w:hAnsi="Arial"/>
                <w:sz w:val="18"/>
                <w:szCs w:val="18"/>
                <w:color w:val="auto"/>
                <w:w w:val="89"/>
              </w:rPr>
              <w:t>10,228</w:t>
            </w:r>
            <w:r>
              <w:rPr>
                <w:rFonts w:ascii="Arial" w:cs="Arial" w:eastAsia="Arial" w:hAnsi="Arial"/>
                <w:sz w:val="23"/>
                <w:szCs w:val="23"/>
                <w:color w:val="auto"/>
                <w:w w:val="89"/>
                <w:vertAlign w:val="superscript"/>
              </w:rPr>
              <w:t>(2)</w:t>
            </w:r>
          </w:p>
        </w:tc>
        <w:tc>
          <w:tcPr>
            <w:tcW w:w="2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71,289</w:t>
            </w:r>
          </w:p>
        </w:tc>
        <w:tc>
          <w:tcPr>
            <w:tcW w:w="40" w:type="dxa"/>
            <w:vAlign w:val="bottom"/>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5560" w:type="dxa"/>
            <w:vAlign w:val="bottom"/>
          </w:tcPr>
          <w:p>
            <w:pPr>
              <w:spacing w:after="0" w:line="54" w:lineRule="exact"/>
              <w:rPr>
                <w:sz w:val="20"/>
                <w:szCs w:val="20"/>
                <w:color w:val="auto"/>
              </w:rPr>
            </w:pPr>
            <w:r>
              <w:rPr>
                <w:rFonts w:ascii="Arial" w:cs="Arial" w:eastAsia="Arial" w:hAnsi="Arial"/>
                <w:sz w:val="6"/>
                <w:szCs w:val="6"/>
                <w:color w:val="auto"/>
              </w:rPr>
              <w:t>​</w:t>
            </w:r>
          </w:p>
        </w:tc>
        <w:tc>
          <w:tcPr>
            <w:tcW w:w="3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D8D8D8"/>
          </w:tcPr>
          <w:p>
            <w:pPr>
              <w:spacing w:after="0"/>
              <w:rPr>
                <w:sz w:val="17"/>
                <w:szCs w:val="17"/>
                <w:color w:val="auto"/>
              </w:rPr>
            </w:pPr>
          </w:p>
        </w:tc>
        <w:tc>
          <w:tcPr>
            <w:tcW w:w="556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Joseph Spytek</w:t>
            </w:r>
          </w:p>
        </w:tc>
        <w:tc>
          <w:tcPr>
            <w:tcW w:w="360" w:type="dxa"/>
            <w:vAlign w:val="bottom"/>
            <w:vMerge w:val="restart"/>
            <w:shd w:val="clear" w:color="auto" w:fill="D8D8D8"/>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8D8D8"/>
          </w:tcPr>
          <w:p>
            <w:pPr>
              <w:jc w:val="right"/>
              <w:ind w:right="48"/>
              <w:spacing w:after="0" w:line="202" w:lineRule="exact"/>
              <w:rPr>
                <w:sz w:val="20"/>
                <w:szCs w:val="20"/>
                <w:color w:val="auto"/>
              </w:rPr>
            </w:pPr>
            <w:r>
              <w:rPr>
                <w:rFonts w:ascii="Arial" w:cs="Arial" w:eastAsia="Arial" w:hAnsi="Arial"/>
                <w:sz w:val="18"/>
                <w:szCs w:val="18"/>
                <w:color w:val="auto"/>
              </w:rPr>
              <w:t>8/21/2025</w:t>
            </w:r>
          </w:p>
        </w:tc>
        <w:tc>
          <w:tcPr>
            <w:tcW w:w="300" w:type="dxa"/>
            <w:vAlign w:val="bottom"/>
            <w:vMerge w:val="restart"/>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60" w:type="dxa"/>
            <w:vAlign w:val="bottom"/>
            <w:vMerge w:val="restart"/>
            <w:shd w:val="clear" w:color="auto" w:fill="D8D8D8"/>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40"/>
              <w:spacing w:after="0" w:line="202" w:lineRule="exact"/>
              <w:rPr>
                <w:sz w:val="20"/>
                <w:szCs w:val="20"/>
                <w:color w:val="auto"/>
              </w:rPr>
            </w:pPr>
            <w:r>
              <w:rPr>
                <w:rFonts w:ascii="Arial" w:cs="Arial" w:eastAsia="Arial" w:hAnsi="Arial"/>
                <w:sz w:val="18"/>
                <w:szCs w:val="18"/>
                <w:color w:val="auto"/>
                <w:w w:val="89"/>
              </w:rPr>
              <w:t>13,500</w:t>
            </w:r>
            <w:r>
              <w:rPr>
                <w:rFonts w:ascii="Arial" w:cs="Arial" w:eastAsia="Arial" w:hAnsi="Arial"/>
                <w:sz w:val="23"/>
                <w:szCs w:val="23"/>
                <w:color w:val="auto"/>
                <w:w w:val="89"/>
                <w:vertAlign w:val="superscript"/>
              </w:rPr>
              <w:t>(2)</w:t>
            </w:r>
          </w:p>
        </w:tc>
        <w:tc>
          <w:tcPr>
            <w:tcW w:w="240" w:type="dxa"/>
            <w:vAlign w:val="bottom"/>
            <w:vMerge w:val="restart"/>
            <w:shd w:val="clear" w:color="auto" w:fill="D8D8D8"/>
          </w:tcPr>
          <w:p>
            <w:pPr>
              <w:ind w:left="1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94,095</w:t>
            </w:r>
          </w:p>
        </w:tc>
        <w:tc>
          <w:tcPr>
            <w:tcW w:w="40" w:type="dxa"/>
            <w:vAlign w:val="bottom"/>
            <w:shd w:val="clear" w:color="auto" w:fill="D8D8D8"/>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60" w:type="dxa"/>
            <w:vAlign w:val="bottom"/>
            <w:tcBorders>
              <w:bottom w:val="single" w:sz="8" w:color="auto"/>
            </w:tcBorders>
            <w:shd w:val="clear" w:color="auto" w:fill="D8D8D8"/>
          </w:tcPr>
          <w:p>
            <w:pPr>
              <w:spacing w:after="0"/>
              <w:rPr>
                <w:sz w:val="7"/>
                <w:szCs w:val="7"/>
                <w:color w:val="auto"/>
              </w:rPr>
            </w:pPr>
          </w:p>
        </w:tc>
        <w:tc>
          <w:tcPr>
            <w:tcW w:w="5560" w:type="dxa"/>
            <w:vAlign w:val="bottom"/>
            <w:tcBorders>
              <w:bottom w:val="single" w:sz="8" w:color="auto"/>
            </w:tcBorders>
            <w:shd w:val="clear" w:color="auto" w:fill="D8D8D8"/>
          </w:tcPr>
          <w:p>
            <w:pPr>
              <w:spacing w:after="0" w:line="81" w:lineRule="exact"/>
              <w:rPr>
                <w:sz w:val="20"/>
                <w:szCs w:val="20"/>
                <w:color w:val="auto"/>
              </w:rPr>
            </w:pPr>
            <w:r>
              <w:rPr>
                <w:rFonts w:ascii="Arial" w:cs="Arial" w:eastAsia="Arial" w:hAnsi="Arial"/>
                <w:sz w:val="9"/>
                <w:szCs w:val="9"/>
                <w:color w:val="auto"/>
              </w:rPr>
              <w:t>​</w:t>
            </w:r>
          </w:p>
        </w:tc>
        <w:tc>
          <w:tcPr>
            <w:tcW w:w="360" w:type="dxa"/>
            <w:vAlign w:val="bottom"/>
            <w:tcBorders>
              <w:bottom w:val="single" w:sz="8" w:color="auto"/>
            </w:tcBorders>
            <w:vMerge w:val="continue"/>
            <w:shd w:val="clear" w:color="auto" w:fill="D8D8D8"/>
          </w:tcPr>
          <w:p>
            <w:pPr>
              <w:spacing w:after="0"/>
              <w:rPr>
                <w:sz w:val="7"/>
                <w:szCs w:val="7"/>
                <w:color w:val="auto"/>
              </w:rPr>
            </w:pPr>
          </w:p>
        </w:tc>
        <w:tc>
          <w:tcPr>
            <w:tcW w:w="160" w:type="dxa"/>
            <w:vAlign w:val="bottom"/>
            <w:tcBorders>
              <w:bottom w:val="single" w:sz="8" w:color="auto"/>
            </w:tcBorders>
            <w:shd w:val="clear" w:color="auto" w:fill="D8D8D8"/>
          </w:tcPr>
          <w:p>
            <w:pPr>
              <w:ind w:left="80"/>
              <w:spacing w:after="0" w:line="81" w:lineRule="exact"/>
              <w:rPr>
                <w:sz w:val="20"/>
                <w:szCs w:val="20"/>
                <w:color w:val="auto"/>
              </w:rPr>
            </w:pPr>
            <w:r>
              <w:rPr>
                <w:rFonts w:ascii="Arial" w:cs="Arial" w:eastAsia="Arial" w:hAnsi="Arial"/>
                <w:sz w:val="9"/>
                <w:szCs w:val="9"/>
                <w:color w:val="auto"/>
              </w:rPr>
              <w:t>​</w:t>
            </w:r>
          </w:p>
        </w:tc>
        <w:tc>
          <w:tcPr>
            <w:tcW w:w="860" w:type="dxa"/>
            <w:vAlign w:val="bottom"/>
            <w:tcBorders>
              <w:bottom w:val="single" w:sz="8" w:color="auto"/>
            </w:tcBorders>
            <w:shd w:val="clear" w:color="auto" w:fill="D8D8D8"/>
          </w:tcPr>
          <w:p>
            <w:pPr>
              <w:spacing w:after="0"/>
              <w:rPr>
                <w:sz w:val="7"/>
                <w:szCs w:val="7"/>
                <w:color w:val="auto"/>
              </w:rPr>
            </w:pPr>
          </w:p>
        </w:tc>
        <w:tc>
          <w:tcPr>
            <w:tcW w:w="300" w:type="dxa"/>
            <w:vAlign w:val="bottom"/>
            <w:tcBorders>
              <w:bottom w:val="single" w:sz="8" w:color="auto"/>
            </w:tcBorders>
            <w:vMerge w:val="continue"/>
            <w:shd w:val="clear" w:color="auto" w:fill="D8D8D8"/>
          </w:tcPr>
          <w:p>
            <w:pPr>
              <w:spacing w:after="0"/>
              <w:rPr>
                <w:sz w:val="7"/>
                <w:szCs w:val="7"/>
                <w:color w:val="auto"/>
              </w:rPr>
            </w:pPr>
          </w:p>
        </w:tc>
        <w:tc>
          <w:tcPr>
            <w:tcW w:w="60" w:type="dxa"/>
            <w:vAlign w:val="bottom"/>
            <w:tcBorders>
              <w:bottom w:val="single" w:sz="8" w:color="auto"/>
            </w:tcBorders>
            <w:vMerge w:val="continue"/>
            <w:shd w:val="clear" w:color="auto" w:fill="D8D8D8"/>
          </w:tcPr>
          <w:p>
            <w:pPr>
              <w:spacing w:after="0"/>
              <w:rPr>
                <w:sz w:val="7"/>
                <w:szCs w:val="7"/>
                <w:color w:val="auto"/>
              </w:rPr>
            </w:pPr>
          </w:p>
        </w:tc>
        <w:tc>
          <w:tcPr>
            <w:tcW w:w="800" w:type="dxa"/>
            <w:vAlign w:val="bottom"/>
            <w:tcBorders>
              <w:bottom w:val="single" w:sz="8" w:color="auto"/>
            </w:tcBorders>
            <w:shd w:val="clear" w:color="auto" w:fill="D8D8D8"/>
          </w:tcPr>
          <w:p>
            <w:pPr>
              <w:spacing w:after="0"/>
              <w:rPr>
                <w:sz w:val="7"/>
                <w:szCs w:val="7"/>
                <w:color w:val="auto"/>
              </w:rPr>
            </w:pPr>
          </w:p>
        </w:tc>
        <w:tc>
          <w:tcPr>
            <w:tcW w:w="240" w:type="dxa"/>
            <w:vAlign w:val="bottom"/>
            <w:tcBorders>
              <w:bottom w:val="single" w:sz="8" w:color="auto"/>
            </w:tcBorders>
            <w:vMerge w:val="continue"/>
            <w:shd w:val="clear" w:color="auto" w:fill="D8D8D8"/>
          </w:tcPr>
          <w:p>
            <w:pPr>
              <w:spacing w:after="0"/>
              <w:rPr>
                <w:sz w:val="7"/>
                <w:szCs w:val="7"/>
                <w:color w:val="auto"/>
              </w:rPr>
            </w:pPr>
          </w:p>
        </w:tc>
        <w:tc>
          <w:tcPr>
            <w:tcW w:w="160" w:type="dxa"/>
            <w:vAlign w:val="bottom"/>
            <w:tcBorders>
              <w:bottom w:val="single" w:sz="8" w:color="auto"/>
            </w:tcBorders>
            <w:vMerge w:val="continue"/>
            <w:shd w:val="clear" w:color="auto" w:fill="D8D8D8"/>
          </w:tcPr>
          <w:p>
            <w:pPr>
              <w:spacing w:after="0"/>
              <w:rPr>
                <w:sz w:val="7"/>
                <w:szCs w:val="7"/>
                <w:color w:val="auto"/>
              </w:rPr>
            </w:pPr>
          </w:p>
        </w:tc>
        <w:tc>
          <w:tcPr>
            <w:tcW w:w="700" w:type="dxa"/>
            <w:vAlign w:val="bottom"/>
            <w:tcBorders>
              <w:bottom w:val="single" w:sz="8" w:color="auto"/>
            </w:tcBorders>
            <w:shd w:val="clear" w:color="auto" w:fill="D8D8D8"/>
          </w:tcPr>
          <w:p>
            <w:pPr>
              <w:spacing w:after="0"/>
              <w:rPr>
                <w:sz w:val="7"/>
                <w:szCs w:val="7"/>
                <w:color w:val="auto"/>
              </w:rPr>
            </w:pPr>
          </w:p>
        </w:tc>
        <w:tc>
          <w:tcPr>
            <w:tcW w:w="40" w:type="dxa"/>
            <w:vAlign w:val="bottom"/>
            <w:tcBorders>
              <w:bottom w:val="single" w:sz="8" w:color="auto"/>
            </w:tcBorders>
            <w:shd w:val="clear" w:color="auto" w:fill="D8D8D8"/>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5086350</wp:posOffset>
            </wp:positionH>
            <wp:positionV relativeFrom="paragraph">
              <wp:posOffset>-1499235</wp:posOffset>
            </wp:positionV>
            <wp:extent cx="12687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ind w:left="1060" w:right="60" w:hanging="352"/>
        <w:spacing w:after="0" w:line="281" w:lineRule="auto"/>
        <w:tabs>
          <w:tab w:leader="none" w:pos="1060" w:val="left"/>
        </w:tabs>
        <w:numPr>
          <w:ilvl w:val="0"/>
          <w:numId w:val="33"/>
        </w:numPr>
        <w:rPr>
          <w:rFonts w:ascii="Arial" w:cs="Arial" w:eastAsia="Arial" w:hAnsi="Arial"/>
          <w:sz w:val="14"/>
          <w:szCs w:val="14"/>
          <w:color w:val="395796"/>
        </w:rPr>
      </w:pPr>
      <w:r>
        <w:rPr>
          <w:rFonts w:ascii="Arial" w:cs="Arial" w:eastAsia="Arial" w:hAnsi="Arial"/>
          <w:sz w:val="14"/>
          <w:szCs w:val="14"/>
          <w:color w:val="auto"/>
        </w:rPr>
        <w:t>Value is calculated by multiplying the number of restricted stock awards that have not vested by $6.97, the closing price of our common stock on the Nasdaq Global Select Market on December 31, 2025, the last trading day of 2025.</w:t>
      </w:r>
    </w:p>
    <w:p>
      <w:pPr>
        <w:spacing w:after="0" w:line="1" w:lineRule="exact"/>
        <w:rPr>
          <w:rFonts w:ascii="Arial" w:cs="Arial" w:eastAsia="Arial" w:hAnsi="Arial"/>
          <w:sz w:val="14"/>
          <w:szCs w:val="14"/>
          <w:color w:val="395796"/>
        </w:rPr>
      </w:pPr>
    </w:p>
    <w:p>
      <w:pPr>
        <w:ind w:left="1060" w:right="60" w:hanging="352"/>
        <w:spacing w:after="0" w:line="305" w:lineRule="auto"/>
        <w:tabs>
          <w:tab w:leader="none" w:pos="1060" w:val="left"/>
        </w:tabs>
        <w:numPr>
          <w:ilvl w:val="0"/>
          <w:numId w:val="33"/>
        </w:numPr>
        <w:rPr>
          <w:rFonts w:ascii="Arial" w:cs="Arial" w:eastAsia="Arial" w:hAnsi="Arial"/>
          <w:sz w:val="14"/>
          <w:szCs w:val="14"/>
          <w:color w:val="395796"/>
        </w:rPr>
      </w:pPr>
      <w:r>
        <w:rPr>
          <w:rFonts w:ascii="Arial" w:cs="Arial" w:eastAsia="Arial" w:hAnsi="Arial"/>
          <w:sz w:val="14"/>
          <w:szCs w:val="14"/>
          <w:color w:val="auto"/>
        </w:rPr>
        <w:t>Amounts reflect restricted stock awards granted on August 21, 2025, which vest in four equal quarterly installments, the first of which vested on November 21, 2025.</w:t>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280"/>
        <w:spacing w:after="0"/>
        <w:rPr>
          <w:sz w:val="20"/>
          <w:szCs w:val="20"/>
          <w:color w:val="auto"/>
        </w:rPr>
      </w:pPr>
      <w:r>
        <w:rPr>
          <w:rFonts w:ascii="Arial" w:cs="Arial" w:eastAsia="Arial" w:hAnsi="Arial"/>
          <w:sz w:val="17"/>
          <w:szCs w:val="17"/>
          <w:color w:val="395796"/>
        </w:rPr>
        <w:t xml:space="preserve">KVH Industries, Inc. 2026 Proxy Statement  </w:t>
      </w:r>
      <w:r>
        <w:rPr>
          <w:rFonts w:ascii="Arial" w:cs="Arial" w:eastAsia="Arial" w:hAnsi="Arial"/>
          <w:sz w:val="17"/>
          <w:szCs w:val="17"/>
          <w:color w:val="000000"/>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386080</wp:posOffset>
            </wp:positionV>
            <wp:extent cx="102870" cy="325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386080</wp:posOffset>
            </wp:positionV>
            <wp:extent cx="102235" cy="325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235" cy="325755"/>
                    </a:xfrm>
                    <a:prstGeom prst="rect">
                      <a:avLst/>
                    </a:prstGeom>
                    <a:noFill/>
                  </pic:spPr>
                </pic:pic>
              </a:graphicData>
            </a:graphic>
          </wp:anchor>
        </w:drawing>
      </w:r>
    </w:p>
    <w:p>
      <w:pPr>
        <w:spacing w:after="0" w:line="311" w:lineRule="exact"/>
        <w:rPr>
          <w:sz w:val="20"/>
          <w:szCs w:val="20"/>
          <w:color w:val="auto"/>
        </w:rPr>
      </w:pPr>
    </w:p>
    <w:tbl>
      <w:tblPr>
        <w:tblLayout w:type="fixed"/>
        <w:tblInd w:w="700" w:type="dxa"/>
        <w:tblCellMar>
          <w:top w:w="0" w:type="dxa"/>
          <w:left w:w="0" w:type="dxa"/>
          <w:bottom w:w="0" w:type="dxa"/>
          <w:right w:w="0" w:type="dxa"/>
        </w:tblCellMar>
      </w:tblPr>
      <w:tr>
        <w:trPr>
          <w:trHeight w:val="368"/>
        </w:trPr>
        <w:tc>
          <w:tcPr>
            <w:tcW w:w="120" w:type="dxa"/>
            <w:vAlign w:val="bottom"/>
          </w:tcPr>
          <w:p>
            <w:pPr>
              <w:spacing w:after="0"/>
              <w:rPr>
                <w:sz w:val="20"/>
                <w:szCs w:val="20"/>
                <w:color w:val="auto"/>
              </w:rPr>
            </w:pPr>
            <w:r>
              <w:rPr>
                <w:rFonts w:ascii="Arial" w:cs="Arial" w:eastAsia="Arial" w:hAnsi="Arial"/>
                <w:sz w:val="32"/>
                <w:szCs w:val="32"/>
                <w:b w:val="1"/>
                <w:bCs w:val="1"/>
                <w:color w:val="FFFFFF"/>
              </w:rPr>
              <w:t>​</w:t>
            </w:r>
          </w:p>
        </w:tc>
        <w:tc>
          <w:tcPr>
            <w:tcW w:w="9060" w:type="dxa"/>
            <w:vAlign w:val="bottom"/>
            <w:shd w:val="clear" w:color="auto" w:fill="395796"/>
          </w:tcPr>
          <w:p>
            <w:pPr>
              <w:ind w:left="5020"/>
              <w:spacing w:after="0"/>
              <w:rPr>
                <w:sz w:val="20"/>
                <w:szCs w:val="20"/>
                <w:color w:val="auto"/>
              </w:rPr>
            </w:pPr>
            <w:r>
              <w:rPr>
                <w:rFonts w:ascii="Arial" w:cs="Arial" w:eastAsia="Arial" w:hAnsi="Arial"/>
                <w:sz w:val="18"/>
                <w:szCs w:val="18"/>
                <w:color w:val="FFFFFF"/>
              </w:rPr>
              <w:t>​</w:t>
            </w:r>
          </w:p>
        </w:tc>
        <w:tc>
          <w:tcPr>
            <w:tcW w:w="80" w:type="dxa"/>
            <w:vAlign w:val="bottom"/>
          </w:tcPr>
          <w:p>
            <w:pPr>
              <w:spacing w:after="0"/>
              <w:rPr>
                <w:sz w:val="20"/>
                <w:szCs w:val="20"/>
                <w:color w:val="auto"/>
              </w:rPr>
            </w:pPr>
            <w:r>
              <w:rPr>
                <w:rFonts w:ascii="Arial" w:cs="Arial" w:eastAsia="Arial" w:hAnsi="Arial"/>
                <w:sz w:val="32"/>
                <w:szCs w:val="32"/>
                <w:b w:val="1"/>
                <w:bCs w:val="1"/>
                <w:color w:val="FFFFFF"/>
              </w:rPr>
              <w:t>​</w:t>
            </w:r>
          </w:p>
        </w:tc>
      </w:tr>
      <w:tr>
        <w:trPr>
          <w:trHeight w:val="401"/>
        </w:trPr>
        <w:tc>
          <w:tcPr>
            <w:tcW w:w="120" w:type="dxa"/>
            <w:vAlign w:val="bottom"/>
          </w:tcPr>
          <w:p>
            <w:pPr>
              <w:spacing w:after="0"/>
              <w:rPr>
                <w:sz w:val="24"/>
                <w:szCs w:val="24"/>
                <w:color w:val="auto"/>
              </w:rPr>
            </w:pPr>
          </w:p>
        </w:tc>
        <w:tc>
          <w:tcPr>
            <w:tcW w:w="9060" w:type="dxa"/>
            <w:vAlign w:val="bottom"/>
            <w:shd w:val="clear" w:color="auto" w:fill="395796"/>
          </w:tcPr>
          <w:p>
            <w:pPr>
              <w:spacing w:after="0"/>
              <w:rPr>
                <w:sz w:val="20"/>
                <w:szCs w:val="20"/>
                <w:color w:val="auto"/>
              </w:rPr>
            </w:pPr>
            <w:r>
              <w:rPr>
                <w:rFonts w:ascii="Arial" w:cs="Arial" w:eastAsia="Arial" w:hAnsi="Arial"/>
                <w:sz w:val="32"/>
                <w:szCs w:val="32"/>
                <w:b w:val="1"/>
                <w:bCs w:val="1"/>
                <w:color w:val="FFFFFF"/>
              </w:rPr>
              <w:t>EQUITY COMPENSATION PLANS</w:t>
            </w:r>
          </w:p>
        </w:tc>
        <w:tc>
          <w:tcPr>
            <w:tcW w:w="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060"/>
          </w:cols>
          <w:pgMar w:left="580" w:top="97" w:right="1259" w:bottom="1440" w:gutter="0" w:footer="0" w:header="0"/>
        </w:sectPr>
      </w:pPr>
    </w:p>
    <w:p>
      <w:pPr>
        <w:spacing w:after="0" w:line="119" w:lineRule="exact"/>
        <w:rPr>
          <w:sz w:val="20"/>
          <w:szCs w:val="20"/>
          <w:color w:val="auto"/>
        </w:rPr>
      </w:pPr>
    </w:p>
    <w:p>
      <w:pPr>
        <w:jc w:val="both"/>
        <w:ind w:left="700"/>
        <w:spacing w:after="0" w:line="248" w:lineRule="auto"/>
        <w:rPr>
          <w:sz w:val="20"/>
          <w:szCs w:val="20"/>
          <w:color w:val="auto"/>
        </w:rPr>
      </w:pPr>
      <w:r>
        <w:rPr>
          <w:rFonts w:ascii="Arial" w:cs="Arial" w:eastAsia="Arial" w:hAnsi="Arial"/>
          <w:sz w:val="18"/>
          <w:szCs w:val="18"/>
          <w:color w:val="auto"/>
        </w:rPr>
        <w:t>The following table provides information as of December 31, 2025 regarding shares authorized for issuance under our equity compensation plans, including individual compensation arrangements. The table does not reflect options to purchase 460,000 shares of common stock granted after December 31, 2025.</w:t>
      </w:r>
    </w:p>
    <w:p>
      <w:pPr>
        <w:spacing w:after="0" w:line="67" w:lineRule="exact"/>
        <w:rPr>
          <w:sz w:val="20"/>
          <w:szCs w:val="20"/>
          <w:color w:val="auto"/>
        </w:rPr>
      </w:pPr>
    </w:p>
    <w:p>
      <w:pPr>
        <w:jc w:val="both"/>
        <w:ind w:left="700"/>
        <w:spacing w:after="0" w:line="248" w:lineRule="auto"/>
        <w:rPr>
          <w:sz w:val="20"/>
          <w:szCs w:val="20"/>
          <w:color w:val="auto"/>
        </w:rPr>
      </w:pPr>
      <w:r>
        <w:rPr>
          <w:rFonts w:ascii="Arial" w:cs="Arial" w:eastAsia="Arial" w:hAnsi="Arial"/>
          <w:sz w:val="18"/>
          <w:szCs w:val="18"/>
          <w:color w:val="auto"/>
        </w:rPr>
        <w:t>The outstanding equity compensation plans approved by our stockholders as of December 31, 2025, were the 2016 Plan and the Amended and Restated 1996 Employee Stock Purchase Plan. As of December 31, 2025, we did not have any equity compensation plan not approved by our stockholders.</w:t>
      </w:r>
    </w:p>
    <w:p>
      <w:pPr>
        <w:spacing w:after="0" w:line="67" w:lineRule="exact"/>
        <w:rPr>
          <w:sz w:val="20"/>
          <w:szCs w:val="20"/>
          <w:color w:val="auto"/>
        </w:rPr>
      </w:pPr>
    </w:p>
    <w:p>
      <w:pPr>
        <w:jc w:val="both"/>
        <w:ind w:left="700"/>
        <w:spacing w:after="0" w:line="252" w:lineRule="auto"/>
        <w:rPr>
          <w:sz w:val="20"/>
          <w:szCs w:val="20"/>
          <w:color w:val="auto"/>
        </w:rPr>
      </w:pPr>
      <w:r>
        <w:rPr>
          <w:rFonts w:ascii="Arial" w:cs="Arial" w:eastAsia="Arial" w:hAnsi="Arial"/>
          <w:sz w:val="18"/>
          <w:szCs w:val="18"/>
          <w:color w:val="auto"/>
        </w:rPr>
        <w:t>Under the 2016 Plan, each share issued under awards other than options and stock appreciation rights reduces the number of shares reserved for issuance by two shares (but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reduces the maximum annual number of shares that may be granted to a participant only by one share), and each share issued under options or stock appreciation rights reduces the number of shares reserved for issuance by one share.</w:t>
      </w:r>
    </w:p>
    <w:p>
      <w:pPr>
        <w:spacing w:after="0" w:line="60"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The restricted stock awards and stock options reflected in the table were granted on the following terms as determined by the compensation committee: (a) in the case of restricted stock awards, the grantee received the restricted stock award without payment of cash consideration, and (b) in the case of stock options, the exercise price per share of the stock option was equal to the closing price of our common stock on the Nasdaq Global Select Market on the date of the grant.</w:t>
      </w:r>
    </w:p>
    <w:p>
      <w:pPr>
        <w:spacing w:after="0" w:line="476" w:lineRule="exact"/>
        <w:rPr>
          <w:sz w:val="20"/>
          <w:szCs w:val="20"/>
          <w:color w:val="auto"/>
        </w:rPr>
      </w:pPr>
    </w:p>
    <w:p>
      <w:pPr>
        <w:sectPr>
          <w:pgSz w:w="11900" w:h="16838" w:orient="portrait"/>
          <w:cols w:equalWidth="0" w:num="2">
            <w:col w:w="5260" w:space="200"/>
            <w:col w:w="4600"/>
          </w:cols>
          <w:pgMar w:left="580" w:top="97" w:right="1259" w:bottom="1440" w:gutter="0" w:footer="0" w:header="0"/>
          <w:type w:val="continuous"/>
        </w:sectPr>
      </w:pPr>
    </w:p>
    <w:p>
      <w:pPr>
        <w:spacing w:after="0" w:line="2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Compensation Plan Information as of December 31, 2025</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193"/>
        </w:trPr>
        <w:tc>
          <w:tcPr>
            <w:tcW w:w="360" w:type="dxa"/>
            <w:vAlign w:val="bottom"/>
            <w:shd w:val="clear" w:color="auto" w:fill="395796"/>
          </w:tcPr>
          <w:p>
            <w:pPr>
              <w:spacing w:after="0"/>
              <w:rPr>
                <w:sz w:val="16"/>
                <w:szCs w:val="16"/>
                <w:color w:val="auto"/>
              </w:rPr>
            </w:pPr>
          </w:p>
        </w:tc>
        <w:tc>
          <w:tcPr>
            <w:tcW w:w="2000" w:type="dxa"/>
            <w:vAlign w:val="bottom"/>
            <w:shd w:val="clear" w:color="auto" w:fill="395796"/>
          </w:tcPr>
          <w:p>
            <w:pPr>
              <w:spacing w:after="0"/>
              <w:rPr>
                <w:sz w:val="16"/>
                <w:szCs w:val="16"/>
                <w:color w:val="auto"/>
              </w:rPr>
            </w:pPr>
          </w:p>
        </w:tc>
        <w:tc>
          <w:tcPr>
            <w:tcW w:w="1560" w:type="dxa"/>
            <w:vAlign w:val="bottom"/>
            <w:shd w:val="clear" w:color="auto" w:fill="395796"/>
          </w:tcPr>
          <w:p>
            <w:pPr>
              <w:spacing w:after="0"/>
              <w:rPr>
                <w:sz w:val="16"/>
                <w:szCs w:val="16"/>
                <w:color w:val="auto"/>
              </w:rPr>
            </w:pPr>
          </w:p>
        </w:tc>
        <w:tc>
          <w:tcPr>
            <w:tcW w:w="1600" w:type="dxa"/>
            <w:vAlign w:val="bottom"/>
            <w:shd w:val="clear" w:color="auto" w:fill="395796"/>
          </w:tcPr>
          <w:p>
            <w:pPr>
              <w:spacing w:after="0"/>
              <w:rPr>
                <w:sz w:val="16"/>
                <w:szCs w:val="16"/>
                <w:color w:val="auto"/>
              </w:rPr>
            </w:pPr>
          </w:p>
        </w:tc>
        <w:tc>
          <w:tcPr>
            <w:tcW w:w="240" w:type="dxa"/>
            <w:vAlign w:val="bottom"/>
            <w:shd w:val="clear" w:color="auto" w:fill="395796"/>
          </w:tcPr>
          <w:p>
            <w:pPr>
              <w:spacing w:after="0"/>
              <w:rPr>
                <w:sz w:val="16"/>
                <w:szCs w:val="16"/>
                <w:color w:val="auto"/>
              </w:rPr>
            </w:pPr>
          </w:p>
        </w:tc>
        <w:tc>
          <w:tcPr>
            <w:tcW w:w="1460" w:type="dxa"/>
            <w:vAlign w:val="bottom"/>
            <w:shd w:val="clear" w:color="auto" w:fill="395796"/>
          </w:tcPr>
          <w:p>
            <w:pPr>
              <w:spacing w:after="0"/>
              <w:rPr>
                <w:sz w:val="16"/>
                <w:szCs w:val="16"/>
                <w:color w:val="auto"/>
              </w:rPr>
            </w:pPr>
          </w:p>
        </w:tc>
        <w:tc>
          <w:tcPr>
            <w:tcW w:w="2080" w:type="dxa"/>
            <w:vAlign w:val="bottom"/>
            <w:gridSpan w:val="2"/>
            <w:shd w:val="clear" w:color="auto" w:fill="395796"/>
          </w:tcPr>
          <w:p>
            <w:pPr>
              <w:jc w:val="right"/>
              <w:ind w:right="8"/>
              <w:spacing w:after="0"/>
              <w:rPr>
                <w:sz w:val="20"/>
                <w:szCs w:val="20"/>
                <w:color w:val="auto"/>
              </w:rPr>
            </w:pPr>
            <w:r>
              <w:rPr>
                <w:rFonts w:ascii="Arial" w:cs="Arial" w:eastAsia="Arial" w:hAnsi="Arial"/>
                <w:sz w:val="14"/>
                <w:szCs w:val="14"/>
                <w:b w:val="1"/>
                <w:bCs w:val="1"/>
                <w:color w:val="FFFFFF"/>
              </w:rPr>
              <w:t>Number of shares remaining</w:t>
            </w:r>
          </w:p>
        </w:tc>
        <w:tc>
          <w:tcPr>
            <w:tcW w:w="40" w:type="dxa"/>
            <w:vAlign w:val="bottom"/>
          </w:tcPr>
          <w:p>
            <w:pPr>
              <w:spacing w:after="0"/>
              <w:rPr>
                <w:sz w:val="16"/>
                <w:szCs w:val="16"/>
                <w:color w:val="auto"/>
              </w:rPr>
            </w:pPr>
          </w:p>
        </w:tc>
      </w:tr>
      <w:tr>
        <w:trPr>
          <w:trHeight w:val="162"/>
        </w:trPr>
        <w:tc>
          <w:tcPr>
            <w:tcW w:w="360" w:type="dxa"/>
            <w:vAlign w:val="bottom"/>
            <w:shd w:val="clear" w:color="auto" w:fill="395796"/>
          </w:tcPr>
          <w:p>
            <w:pPr>
              <w:spacing w:after="0"/>
              <w:rPr>
                <w:sz w:val="14"/>
                <w:szCs w:val="14"/>
                <w:color w:val="auto"/>
              </w:rPr>
            </w:pPr>
          </w:p>
        </w:tc>
        <w:tc>
          <w:tcPr>
            <w:tcW w:w="2000" w:type="dxa"/>
            <w:vAlign w:val="bottom"/>
            <w:shd w:val="clear" w:color="auto" w:fill="395796"/>
          </w:tcPr>
          <w:p>
            <w:pPr>
              <w:spacing w:after="0"/>
              <w:rPr>
                <w:sz w:val="14"/>
                <w:szCs w:val="14"/>
                <w:color w:val="auto"/>
              </w:rPr>
            </w:pPr>
          </w:p>
        </w:tc>
        <w:tc>
          <w:tcPr>
            <w:tcW w:w="1560" w:type="dxa"/>
            <w:vAlign w:val="bottom"/>
            <w:shd w:val="clear" w:color="auto" w:fill="395796"/>
          </w:tcPr>
          <w:p>
            <w:pPr>
              <w:spacing w:after="0"/>
              <w:rPr>
                <w:sz w:val="14"/>
                <w:szCs w:val="14"/>
                <w:color w:val="auto"/>
              </w:rPr>
            </w:pPr>
          </w:p>
        </w:tc>
        <w:tc>
          <w:tcPr>
            <w:tcW w:w="1600" w:type="dxa"/>
            <w:vAlign w:val="bottom"/>
            <w:shd w:val="clear" w:color="auto" w:fill="395796"/>
          </w:tcPr>
          <w:p>
            <w:pPr>
              <w:jc w:val="right"/>
              <w:ind w:right="28"/>
              <w:spacing w:after="0"/>
              <w:rPr>
                <w:sz w:val="20"/>
                <w:szCs w:val="20"/>
                <w:color w:val="auto"/>
              </w:rPr>
            </w:pPr>
            <w:r>
              <w:rPr>
                <w:rFonts w:ascii="Arial" w:cs="Arial" w:eastAsia="Arial" w:hAnsi="Arial"/>
                <w:sz w:val="14"/>
                <w:szCs w:val="14"/>
                <w:b w:val="1"/>
                <w:bCs w:val="1"/>
                <w:color w:val="FFFFFF"/>
                <w:w w:val="94"/>
              </w:rPr>
              <w:t>Number of shares to be</w:t>
            </w:r>
          </w:p>
        </w:tc>
        <w:tc>
          <w:tcPr>
            <w:tcW w:w="240" w:type="dxa"/>
            <w:vAlign w:val="bottom"/>
            <w:shd w:val="clear" w:color="auto" w:fill="395796"/>
          </w:tcPr>
          <w:p>
            <w:pPr>
              <w:spacing w:after="0"/>
              <w:rPr>
                <w:sz w:val="14"/>
                <w:szCs w:val="14"/>
                <w:color w:val="auto"/>
              </w:rPr>
            </w:pPr>
          </w:p>
        </w:tc>
        <w:tc>
          <w:tcPr>
            <w:tcW w:w="1460" w:type="dxa"/>
            <w:vAlign w:val="bottom"/>
            <w:shd w:val="clear" w:color="auto" w:fill="395796"/>
          </w:tcPr>
          <w:p>
            <w:pPr>
              <w:jc w:val="right"/>
              <w:ind w:right="28"/>
              <w:spacing w:after="0"/>
              <w:rPr>
                <w:sz w:val="20"/>
                <w:szCs w:val="20"/>
                <w:color w:val="auto"/>
              </w:rPr>
            </w:pPr>
            <w:r>
              <w:rPr>
                <w:rFonts w:ascii="Arial" w:cs="Arial" w:eastAsia="Arial" w:hAnsi="Arial"/>
                <w:sz w:val="14"/>
                <w:szCs w:val="14"/>
                <w:b w:val="1"/>
                <w:bCs w:val="1"/>
                <w:color w:val="FFFFFF"/>
              </w:rPr>
              <w:t>Weighted-average</w:t>
            </w:r>
          </w:p>
        </w:tc>
        <w:tc>
          <w:tcPr>
            <w:tcW w:w="200" w:type="dxa"/>
            <w:vAlign w:val="bottom"/>
            <w:shd w:val="clear" w:color="auto" w:fill="395796"/>
          </w:tcPr>
          <w:p>
            <w:pPr>
              <w:spacing w:after="0"/>
              <w:rPr>
                <w:sz w:val="14"/>
                <w:szCs w:val="14"/>
                <w:color w:val="auto"/>
              </w:rPr>
            </w:pPr>
          </w:p>
        </w:tc>
        <w:tc>
          <w:tcPr>
            <w:tcW w:w="1880" w:type="dxa"/>
            <w:vAlign w:val="bottom"/>
            <w:shd w:val="clear" w:color="auto" w:fill="395796"/>
          </w:tcPr>
          <w:p>
            <w:pPr>
              <w:jc w:val="right"/>
              <w:ind w:right="8"/>
              <w:spacing w:after="0"/>
              <w:rPr>
                <w:sz w:val="20"/>
                <w:szCs w:val="20"/>
                <w:color w:val="auto"/>
              </w:rPr>
            </w:pPr>
            <w:r>
              <w:rPr>
                <w:rFonts w:ascii="Arial" w:cs="Arial" w:eastAsia="Arial" w:hAnsi="Arial"/>
                <w:sz w:val="14"/>
                <w:szCs w:val="14"/>
                <w:b w:val="1"/>
                <w:bCs w:val="1"/>
                <w:color w:val="FFFFFF"/>
                <w:w w:val="94"/>
              </w:rPr>
              <w:t>available for future issuance</w:t>
            </w:r>
          </w:p>
        </w:tc>
        <w:tc>
          <w:tcPr>
            <w:tcW w:w="40" w:type="dxa"/>
            <w:vAlign w:val="bottom"/>
          </w:tcPr>
          <w:p>
            <w:pPr>
              <w:spacing w:after="0"/>
              <w:rPr>
                <w:sz w:val="14"/>
                <w:szCs w:val="14"/>
                <w:color w:val="auto"/>
              </w:rPr>
            </w:pPr>
          </w:p>
        </w:tc>
      </w:tr>
      <w:tr>
        <w:trPr>
          <w:trHeight w:val="162"/>
        </w:trPr>
        <w:tc>
          <w:tcPr>
            <w:tcW w:w="360" w:type="dxa"/>
            <w:vAlign w:val="bottom"/>
            <w:shd w:val="clear" w:color="auto" w:fill="395796"/>
          </w:tcPr>
          <w:p>
            <w:pPr>
              <w:spacing w:after="0"/>
              <w:rPr>
                <w:sz w:val="14"/>
                <w:szCs w:val="14"/>
                <w:color w:val="auto"/>
              </w:rPr>
            </w:pPr>
          </w:p>
        </w:tc>
        <w:tc>
          <w:tcPr>
            <w:tcW w:w="2000" w:type="dxa"/>
            <w:vAlign w:val="bottom"/>
            <w:shd w:val="clear" w:color="auto" w:fill="395796"/>
          </w:tcPr>
          <w:p>
            <w:pPr>
              <w:spacing w:after="0"/>
              <w:rPr>
                <w:sz w:val="14"/>
                <w:szCs w:val="14"/>
                <w:color w:val="auto"/>
              </w:rPr>
            </w:pPr>
          </w:p>
        </w:tc>
        <w:tc>
          <w:tcPr>
            <w:tcW w:w="3160" w:type="dxa"/>
            <w:vAlign w:val="bottom"/>
            <w:gridSpan w:val="2"/>
            <w:shd w:val="clear" w:color="auto" w:fill="395796"/>
          </w:tcPr>
          <w:p>
            <w:pPr>
              <w:jc w:val="right"/>
              <w:ind w:right="28"/>
              <w:spacing w:after="0"/>
              <w:rPr>
                <w:sz w:val="20"/>
                <w:szCs w:val="20"/>
                <w:color w:val="auto"/>
              </w:rPr>
            </w:pPr>
            <w:r>
              <w:rPr>
                <w:rFonts w:ascii="Arial" w:cs="Arial" w:eastAsia="Arial" w:hAnsi="Arial"/>
                <w:sz w:val="14"/>
                <w:szCs w:val="14"/>
                <w:b w:val="1"/>
                <w:bCs w:val="1"/>
                <w:color w:val="FFFFFF"/>
              </w:rPr>
              <w:t>issued upon exercise of</w:t>
            </w:r>
          </w:p>
        </w:tc>
        <w:tc>
          <w:tcPr>
            <w:tcW w:w="240" w:type="dxa"/>
            <w:vAlign w:val="bottom"/>
            <w:shd w:val="clear" w:color="auto" w:fill="395796"/>
          </w:tcPr>
          <w:p>
            <w:pPr>
              <w:spacing w:after="0"/>
              <w:rPr>
                <w:sz w:val="14"/>
                <w:szCs w:val="14"/>
                <w:color w:val="auto"/>
              </w:rPr>
            </w:pPr>
          </w:p>
        </w:tc>
        <w:tc>
          <w:tcPr>
            <w:tcW w:w="1460" w:type="dxa"/>
            <w:vAlign w:val="bottom"/>
            <w:shd w:val="clear" w:color="auto" w:fill="395796"/>
          </w:tcPr>
          <w:p>
            <w:pPr>
              <w:jc w:val="right"/>
              <w:ind w:right="28"/>
              <w:spacing w:after="0"/>
              <w:rPr>
                <w:sz w:val="20"/>
                <w:szCs w:val="20"/>
                <w:color w:val="auto"/>
              </w:rPr>
            </w:pPr>
            <w:r>
              <w:rPr>
                <w:rFonts w:ascii="Arial" w:cs="Arial" w:eastAsia="Arial" w:hAnsi="Arial"/>
                <w:sz w:val="14"/>
                <w:szCs w:val="14"/>
                <w:b w:val="1"/>
                <w:bCs w:val="1"/>
                <w:color w:val="FFFFFF"/>
              </w:rPr>
              <w:t>exercise price of</w:t>
            </w:r>
          </w:p>
        </w:tc>
        <w:tc>
          <w:tcPr>
            <w:tcW w:w="200" w:type="dxa"/>
            <w:vAlign w:val="bottom"/>
            <w:shd w:val="clear" w:color="auto" w:fill="395796"/>
          </w:tcPr>
          <w:p>
            <w:pPr>
              <w:spacing w:after="0"/>
              <w:rPr>
                <w:sz w:val="14"/>
                <w:szCs w:val="14"/>
                <w:color w:val="auto"/>
              </w:rPr>
            </w:pPr>
          </w:p>
        </w:tc>
        <w:tc>
          <w:tcPr>
            <w:tcW w:w="1880" w:type="dxa"/>
            <w:vAlign w:val="bottom"/>
            <w:shd w:val="clear" w:color="auto" w:fill="395796"/>
          </w:tcPr>
          <w:p>
            <w:pPr>
              <w:jc w:val="right"/>
              <w:ind w:right="8"/>
              <w:spacing w:after="0"/>
              <w:rPr>
                <w:sz w:val="20"/>
                <w:szCs w:val="20"/>
                <w:color w:val="auto"/>
              </w:rPr>
            </w:pPr>
            <w:r>
              <w:rPr>
                <w:rFonts w:ascii="Arial" w:cs="Arial" w:eastAsia="Arial" w:hAnsi="Arial"/>
                <w:sz w:val="14"/>
                <w:szCs w:val="14"/>
                <w:b w:val="1"/>
                <w:bCs w:val="1"/>
                <w:color w:val="FFFFFF"/>
                <w:w w:val="97"/>
              </w:rPr>
              <w:t>under equity compensation</w:t>
            </w:r>
          </w:p>
        </w:tc>
        <w:tc>
          <w:tcPr>
            <w:tcW w:w="40" w:type="dxa"/>
            <w:vAlign w:val="bottom"/>
          </w:tcPr>
          <w:p>
            <w:pPr>
              <w:spacing w:after="0"/>
              <w:rPr>
                <w:sz w:val="14"/>
                <w:szCs w:val="14"/>
                <w:color w:val="auto"/>
              </w:rPr>
            </w:pPr>
          </w:p>
        </w:tc>
      </w:tr>
      <w:tr>
        <w:trPr>
          <w:trHeight w:val="162"/>
        </w:trPr>
        <w:tc>
          <w:tcPr>
            <w:tcW w:w="360" w:type="dxa"/>
            <w:vAlign w:val="bottom"/>
            <w:shd w:val="clear" w:color="auto" w:fill="395796"/>
          </w:tcPr>
          <w:p>
            <w:pPr>
              <w:spacing w:after="0"/>
              <w:rPr>
                <w:sz w:val="14"/>
                <w:szCs w:val="14"/>
                <w:color w:val="auto"/>
              </w:rPr>
            </w:pPr>
          </w:p>
        </w:tc>
        <w:tc>
          <w:tcPr>
            <w:tcW w:w="2000" w:type="dxa"/>
            <w:vAlign w:val="bottom"/>
            <w:shd w:val="clear" w:color="auto" w:fill="395796"/>
          </w:tcPr>
          <w:p>
            <w:pPr>
              <w:spacing w:after="0"/>
              <w:rPr>
                <w:sz w:val="14"/>
                <w:szCs w:val="14"/>
                <w:color w:val="auto"/>
              </w:rPr>
            </w:pPr>
          </w:p>
        </w:tc>
        <w:tc>
          <w:tcPr>
            <w:tcW w:w="1560" w:type="dxa"/>
            <w:vAlign w:val="bottom"/>
            <w:shd w:val="clear" w:color="auto" w:fill="395796"/>
          </w:tcPr>
          <w:p>
            <w:pPr>
              <w:spacing w:after="0"/>
              <w:rPr>
                <w:sz w:val="14"/>
                <w:szCs w:val="14"/>
                <w:color w:val="auto"/>
              </w:rPr>
            </w:pPr>
          </w:p>
        </w:tc>
        <w:tc>
          <w:tcPr>
            <w:tcW w:w="1600" w:type="dxa"/>
            <w:vAlign w:val="bottom"/>
            <w:shd w:val="clear" w:color="auto" w:fill="395796"/>
          </w:tcPr>
          <w:p>
            <w:pPr>
              <w:jc w:val="right"/>
              <w:ind w:right="28"/>
              <w:spacing w:after="0"/>
              <w:rPr>
                <w:sz w:val="20"/>
                <w:szCs w:val="20"/>
                <w:color w:val="auto"/>
              </w:rPr>
            </w:pPr>
            <w:r>
              <w:rPr>
                <w:rFonts w:ascii="Arial" w:cs="Arial" w:eastAsia="Arial" w:hAnsi="Arial"/>
                <w:sz w:val="14"/>
                <w:szCs w:val="14"/>
                <w:b w:val="1"/>
                <w:bCs w:val="1"/>
                <w:color w:val="FFFFFF"/>
              </w:rPr>
              <w:t>outstanding options,</w:t>
            </w:r>
          </w:p>
        </w:tc>
        <w:tc>
          <w:tcPr>
            <w:tcW w:w="240" w:type="dxa"/>
            <w:vAlign w:val="bottom"/>
            <w:shd w:val="clear" w:color="auto" w:fill="395796"/>
          </w:tcPr>
          <w:p>
            <w:pPr>
              <w:spacing w:after="0"/>
              <w:rPr>
                <w:sz w:val="14"/>
                <w:szCs w:val="14"/>
                <w:color w:val="auto"/>
              </w:rPr>
            </w:pPr>
          </w:p>
        </w:tc>
        <w:tc>
          <w:tcPr>
            <w:tcW w:w="1460" w:type="dxa"/>
            <w:vAlign w:val="bottom"/>
            <w:shd w:val="clear" w:color="auto" w:fill="395796"/>
          </w:tcPr>
          <w:p>
            <w:pPr>
              <w:jc w:val="right"/>
              <w:ind w:right="28"/>
              <w:spacing w:after="0"/>
              <w:rPr>
                <w:sz w:val="20"/>
                <w:szCs w:val="20"/>
                <w:color w:val="auto"/>
              </w:rPr>
            </w:pPr>
            <w:r>
              <w:rPr>
                <w:rFonts w:ascii="Arial" w:cs="Arial" w:eastAsia="Arial" w:hAnsi="Arial"/>
                <w:sz w:val="14"/>
                <w:szCs w:val="14"/>
                <w:b w:val="1"/>
                <w:bCs w:val="1"/>
                <w:color w:val="FFFFFF"/>
                <w:w w:val="96"/>
              </w:rPr>
              <w:t>outstanding options,</w:t>
            </w:r>
          </w:p>
        </w:tc>
        <w:tc>
          <w:tcPr>
            <w:tcW w:w="200" w:type="dxa"/>
            <w:vAlign w:val="bottom"/>
            <w:shd w:val="clear" w:color="auto" w:fill="395796"/>
          </w:tcPr>
          <w:p>
            <w:pPr>
              <w:spacing w:after="0"/>
              <w:rPr>
                <w:sz w:val="14"/>
                <w:szCs w:val="14"/>
                <w:color w:val="auto"/>
              </w:rPr>
            </w:pPr>
          </w:p>
        </w:tc>
        <w:tc>
          <w:tcPr>
            <w:tcW w:w="1880" w:type="dxa"/>
            <w:vAlign w:val="bottom"/>
            <w:shd w:val="clear" w:color="auto" w:fill="395796"/>
          </w:tcPr>
          <w:p>
            <w:pPr>
              <w:jc w:val="right"/>
              <w:ind w:right="8"/>
              <w:spacing w:after="0"/>
              <w:rPr>
                <w:sz w:val="20"/>
                <w:szCs w:val="20"/>
                <w:color w:val="auto"/>
              </w:rPr>
            </w:pPr>
            <w:r>
              <w:rPr>
                <w:rFonts w:ascii="Arial" w:cs="Arial" w:eastAsia="Arial" w:hAnsi="Arial"/>
                <w:sz w:val="14"/>
                <w:szCs w:val="14"/>
                <w:b w:val="1"/>
                <w:bCs w:val="1"/>
                <w:color w:val="FFFFFF"/>
              </w:rPr>
              <w:t>plans (excluding shares</w:t>
            </w:r>
          </w:p>
        </w:tc>
        <w:tc>
          <w:tcPr>
            <w:tcW w:w="40" w:type="dxa"/>
            <w:vAlign w:val="bottom"/>
          </w:tcPr>
          <w:p>
            <w:pPr>
              <w:spacing w:after="0"/>
              <w:rPr>
                <w:sz w:val="14"/>
                <w:szCs w:val="14"/>
                <w:color w:val="auto"/>
              </w:rPr>
            </w:pPr>
          </w:p>
        </w:tc>
      </w:tr>
      <w:tr>
        <w:trPr>
          <w:trHeight w:val="162"/>
        </w:trPr>
        <w:tc>
          <w:tcPr>
            <w:tcW w:w="360" w:type="dxa"/>
            <w:vAlign w:val="bottom"/>
            <w:shd w:val="clear" w:color="auto" w:fill="395796"/>
          </w:tcPr>
          <w:p>
            <w:pPr>
              <w:spacing w:after="0"/>
              <w:rPr>
                <w:sz w:val="14"/>
                <w:szCs w:val="14"/>
                <w:color w:val="auto"/>
              </w:rPr>
            </w:pPr>
          </w:p>
        </w:tc>
        <w:tc>
          <w:tcPr>
            <w:tcW w:w="2000" w:type="dxa"/>
            <w:vAlign w:val="bottom"/>
            <w:shd w:val="clear" w:color="auto" w:fill="395796"/>
          </w:tcPr>
          <w:p>
            <w:pPr>
              <w:spacing w:after="0"/>
              <w:rPr>
                <w:sz w:val="14"/>
                <w:szCs w:val="14"/>
                <w:color w:val="auto"/>
              </w:rPr>
            </w:pPr>
          </w:p>
        </w:tc>
        <w:tc>
          <w:tcPr>
            <w:tcW w:w="1560" w:type="dxa"/>
            <w:vAlign w:val="bottom"/>
            <w:shd w:val="clear" w:color="auto" w:fill="395796"/>
          </w:tcPr>
          <w:p>
            <w:pPr>
              <w:spacing w:after="0"/>
              <w:rPr>
                <w:sz w:val="14"/>
                <w:szCs w:val="14"/>
                <w:color w:val="auto"/>
              </w:rPr>
            </w:pPr>
          </w:p>
        </w:tc>
        <w:tc>
          <w:tcPr>
            <w:tcW w:w="1600" w:type="dxa"/>
            <w:vAlign w:val="bottom"/>
            <w:shd w:val="clear" w:color="auto" w:fill="395796"/>
          </w:tcPr>
          <w:p>
            <w:pPr>
              <w:jc w:val="right"/>
              <w:ind w:right="28"/>
              <w:spacing w:after="0"/>
              <w:rPr>
                <w:sz w:val="20"/>
                <w:szCs w:val="20"/>
                <w:color w:val="auto"/>
              </w:rPr>
            </w:pPr>
            <w:r>
              <w:rPr>
                <w:rFonts w:ascii="Arial" w:cs="Arial" w:eastAsia="Arial" w:hAnsi="Arial"/>
                <w:sz w:val="14"/>
                <w:szCs w:val="14"/>
                <w:b w:val="1"/>
                <w:bCs w:val="1"/>
                <w:color w:val="FFFFFF"/>
                <w:w w:val="98"/>
              </w:rPr>
              <w:t>warrants and rights (#)</w:t>
            </w:r>
          </w:p>
        </w:tc>
        <w:tc>
          <w:tcPr>
            <w:tcW w:w="1700" w:type="dxa"/>
            <w:vAlign w:val="bottom"/>
            <w:gridSpan w:val="2"/>
            <w:shd w:val="clear" w:color="auto" w:fill="395796"/>
          </w:tcPr>
          <w:p>
            <w:pPr>
              <w:jc w:val="right"/>
              <w:ind w:right="28"/>
              <w:spacing w:after="0"/>
              <w:rPr>
                <w:sz w:val="20"/>
                <w:szCs w:val="20"/>
                <w:color w:val="auto"/>
              </w:rPr>
            </w:pPr>
            <w:r>
              <w:rPr>
                <w:rFonts w:ascii="Arial" w:cs="Arial" w:eastAsia="Arial" w:hAnsi="Arial"/>
                <w:sz w:val="14"/>
                <w:szCs w:val="14"/>
                <w:b w:val="1"/>
                <w:bCs w:val="1"/>
                <w:color w:val="FFFFFF"/>
              </w:rPr>
              <w:t>warrants and rights ($)</w:t>
            </w:r>
          </w:p>
        </w:tc>
        <w:tc>
          <w:tcPr>
            <w:tcW w:w="200" w:type="dxa"/>
            <w:vAlign w:val="bottom"/>
            <w:shd w:val="clear" w:color="auto" w:fill="395796"/>
          </w:tcPr>
          <w:p>
            <w:pPr>
              <w:spacing w:after="0"/>
              <w:rPr>
                <w:sz w:val="14"/>
                <w:szCs w:val="14"/>
                <w:color w:val="auto"/>
              </w:rPr>
            </w:pPr>
          </w:p>
        </w:tc>
        <w:tc>
          <w:tcPr>
            <w:tcW w:w="1880" w:type="dxa"/>
            <w:vAlign w:val="bottom"/>
            <w:shd w:val="clear" w:color="auto" w:fill="395796"/>
          </w:tcPr>
          <w:p>
            <w:pPr>
              <w:jc w:val="right"/>
              <w:ind w:right="8"/>
              <w:spacing w:after="0"/>
              <w:rPr>
                <w:sz w:val="20"/>
                <w:szCs w:val="20"/>
                <w:color w:val="auto"/>
              </w:rPr>
            </w:pPr>
            <w:r>
              <w:rPr>
                <w:rFonts w:ascii="Arial" w:cs="Arial" w:eastAsia="Arial" w:hAnsi="Arial"/>
                <w:sz w:val="14"/>
                <w:szCs w:val="14"/>
                <w:b w:val="1"/>
                <w:bCs w:val="1"/>
                <w:color w:val="FFFFFF"/>
              </w:rPr>
              <w:t>reflected in column (a)(#))</w:t>
            </w:r>
          </w:p>
        </w:tc>
        <w:tc>
          <w:tcPr>
            <w:tcW w:w="40" w:type="dxa"/>
            <w:vAlign w:val="bottom"/>
          </w:tcPr>
          <w:p>
            <w:pPr>
              <w:spacing w:after="0"/>
              <w:rPr>
                <w:sz w:val="14"/>
                <w:szCs w:val="14"/>
                <w:color w:val="auto"/>
              </w:rPr>
            </w:pPr>
          </w:p>
        </w:tc>
      </w:tr>
      <w:tr>
        <w:trPr>
          <w:trHeight w:val="171"/>
        </w:trPr>
        <w:tc>
          <w:tcPr>
            <w:tcW w:w="360" w:type="dxa"/>
            <w:vAlign w:val="bottom"/>
            <w:shd w:val="clear" w:color="auto" w:fill="395796"/>
          </w:tcPr>
          <w:p>
            <w:pPr>
              <w:ind w:left="60"/>
              <w:spacing w:after="0"/>
              <w:rPr>
                <w:sz w:val="20"/>
                <w:szCs w:val="20"/>
                <w:color w:val="auto"/>
              </w:rPr>
            </w:pPr>
            <w:r>
              <w:rPr>
                <w:rFonts w:ascii="Arial" w:cs="Arial" w:eastAsia="Arial" w:hAnsi="Arial"/>
                <w:sz w:val="14"/>
                <w:szCs w:val="14"/>
                <w:b w:val="1"/>
                <w:bCs w:val="1"/>
                <w:color w:val="FFFFFF"/>
                <w:w w:val="94"/>
              </w:rPr>
              <w:t>Plan​</w:t>
            </w:r>
          </w:p>
        </w:tc>
        <w:tc>
          <w:tcPr>
            <w:tcW w:w="2000" w:type="dxa"/>
            <w:vAlign w:val="bottom"/>
            <w:shd w:val="clear" w:color="auto" w:fill="395796"/>
          </w:tcPr>
          <w:p>
            <w:pPr>
              <w:ind w:left="20"/>
              <w:spacing w:after="0"/>
              <w:rPr>
                <w:sz w:val="20"/>
                <w:szCs w:val="20"/>
                <w:color w:val="auto"/>
              </w:rPr>
            </w:pPr>
            <w:r>
              <w:rPr>
                <w:rFonts w:ascii="Arial" w:cs="Arial" w:eastAsia="Arial" w:hAnsi="Arial"/>
                <w:sz w:val="14"/>
                <w:szCs w:val="14"/>
                <w:b w:val="1"/>
                <w:bCs w:val="1"/>
                <w:color w:val="FFFFFF"/>
              </w:rPr>
              <w:t>category</w:t>
            </w:r>
          </w:p>
        </w:tc>
        <w:tc>
          <w:tcPr>
            <w:tcW w:w="1560" w:type="dxa"/>
            <w:vAlign w:val="bottom"/>
            <w:shd w:val="clear" w:color="auto" w:fill="395796"/>
          </w:tcPr>
          <w:p>
            <w:pPr>
              <w:ind w:left="1420"/>
              <w:spacing w:after="0"/>
              <w:rPr>
                <w:sz w:val="20"/>
                <w:szCs w:val="20"/>
                <w:color w:val="auto"/>
              </w:rPr>
            </w:pPr>
            <w:r>
              <w:rPr>
                <w:rFonts w:ascii="Arial" w:cs="Arial" w:eastAsia="Arial" w:hAnsi="Arial"/>
                <w:sz w:val="14"/>
                <w:szCs w:val="14"/>
                <w:b w:val="1"/>
                <w:bCs w:val="1"/>
                <w:color w:val="FFFFFF"/>
              </w:rPr>
              <w:t>​ ​</w:t>
            </w:r>
          </w:p>
        </w:tc>
        <w:tc>
          <w:tcPr>
            <w:tcW w:w="160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column (a)</w:t>
            </w:r>
          </w:p>
        </w:tc>
        <w:tc>
          <w:tcPr>
            <w:tcW w:w="240" w:type="dxa"/>
            <w:vAlign w:val="bottom"/>
            <w:shd w:val="clear" w:color="auto" w:fill="395796"/>
          </w:tcPr>
          <w:p>
            <w:pPr>
              <w:ind w:left="60"/>
              <w:spacing w:after="0"/>
              <w:rPr>
                <w:sz w:val="20"/>
                <w:szCs w:val="20"/>
                <w:color w:val="auto"/>
              </w:rPr>
            </w:pPr>
            <w:r>
              <w:rPr>
                <w:rFonts w:ascii="Arial" w:cs="Arial" w:eastAsia="Arial" w:hAnsi="Arial"/>
                <w:sz w:val="14"/>
                <w:szCs w:val="14"/>
                <w:b w:val="1"/>
                <w:bCs w:val="1"/>
                <w:color w:val="FFFFFF"/>
              </w:rPr>
              <w:t>​ ​</w:t>
            </w:r>
          </w:p>
        </w:tc>
        <w:tc>
          <w:tcPr>
            <w:tcW w:w="146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column (b)</w:t>
            </w:r>
          </w:p>
        </w:tc>
        <w:tc>
          <w:tcPr>
            <w:tcW w:w="200" w:type="dxa"/>
            <w:vAlign w:val="bottom"/>
            <w:shd w:val="clear" w:color="auto" w:fill="395796"/>
          </w:tcPr>
          <w:p>
            <w:pPr>
              <w:ind w:left="60"/>
              <w:spacing w:after="0"/>
              <w:rPr>
                <w:sz w:val="20"/>
                <w:szCs w:val="20"/>
                <w:color w:val="auto"/>
              </w:rPr>
            </w:pPr>
            <w:r>
              <w:rPr>
                <w:rFonts w:ascii="Arial" w:cs="Arial" w:eastAsia="Arial" w:hAnsi="Arial"/>
                <w:sz w:val="14"/>
                <w:szCs w:val="14"/>
                <w:b w:val="1"/>
                <w:bCs w:val="1"/>
                <w:color w:val="FFFFFF"/>
              </w:rPr>
              <w:t>​ ​</w:t>
            </w:r>
          </w:p>
        </w:tc>
        <w:tc>
          <w:tcPr>
            <w:tcW w:w="188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column (c)</w:t>
            </w:r>
          </w:p>
        </w:tc>
        <w:tc>
          <w:tcPr>
            <w:tcW w:w="40" w:type="dxa"/>
            <w:vAlign w:val="bottom"/>
          </w:tcPr>
          <w:p>
            <w:pPr>
              <w:spacing w:after="0"/>
              <w:rPr>
                <w:sz w:val="20"/>
                <w:szCs w:val="20"/>
                <w:color w:val="auto"/>
              </w:rPr>
            </w:pPr>
            <w:r>
              <w:rPr>
                <w:rFonts w:ascii="Arial" w:cs="Arial" w:eastAsia="Arial" w:hAnsi="Arial"/>
                <w:sz w:val="14"/>
                <w:szCs w:val="14"/>
                <w:b w:val="1"/>
                <w:bCs w:val="1"/>
                <w:color w:val="FFFFFF"/>
              </w:rPr>
              <w:t>​</w:t>
            </w:r>
          </w:p>
        </w:tc>
      </w:tr>
    </w:tbl>
    <w:p>
      <w:pPr>
        <w:spacing w:after="0" w:line="8" w:lineRule="exact"/>
        <w:rPr>
          <w:sz w:val="20"/>
          <w:szCs w:val="20"/>
          <w:color w:val="auto"/>
        </w:rPr>
      </w:pPr>
    </w:p>
    <w:p>
      <w:pPr>
        <w:sectPr>
          <w:pgSz w:w="11900" w:h="16838" w:orient="portrait"/>
          <w:cols w:equalWidth="0" w:num="1">
            <w:col w:w="10060"/>
          </w:cols>
          <w:pgMar w:left="580" w:top="97" w:right="1259" w:bottom="1440" w:gutter="0" w:footer="0" w:header="0"/>
          <w:type w:val="continuous"/>
        </w:sectPr>
      </w:pPr>
    </w:p>
    <w:p>
      <w:pPr>
        <w:ind w:left="760" w:right="300"/>
        <w:spacing w:after="0" w:line="273" w:lineRule="auto"/>
        <w:rPr>
          <w:sz w:val="20"/>
          <w:szCs w:val="20"/>
          <w:color w:val="auto"/>
        </w:rPr>
      </w:pPr>
      <w:r>
        <w:rPr>
          <w:rFonts w:ascii="Arial" w:cs="Arial" w:eastAsia="Arial" w:hAnsi="Arial"/>
          <w:sz w:val="18"/>
          <w:szCs w:val="18"/>
          <w:color w:val="auto"/>
        </w:rPr>
        <w:t>Equity compensation plans approved by ​ stockholders</w:t>
      </w:r>
    </w:p>
    <w:p>
      <w:pPr>
        <w:spacing w:after="0" w:line="2" w:lineRule="exact"/>
        <w:rPr>
          <w:sz w:val="20"/>
          <w:szCs w:val="20"/>
          <w:color w:val="auto"/>
        </w:rPr>
      </w:pPr>
    </w:p>
    <w:p>
      <w:pPr>
        <w:ind w:left="760"/>
        <w:spacing w:after="0" w:line="281" w:lineRule="auto"/>
        <w:rPr>
          <w:sz w:val="20"/>
          <w:szCs w:val="20"/>
          <w:color w:val="auto"/>
        </w:rPr>
      </w:pPr>
      <w:r>
        <w:rPr>
          <w:rFonts w:ascii="Arial" w:cs="Arial" w:eastAsia="Arial" w:hAnsi="Arial"/>
          <w:sz w:val="18"/>
          <w:szCs w:val="18"/>
          <w:color w:val="auto"/>
        </w:rPr>
        <w:t>Equity compensation plans not approved by ​ stockholders</w:t>
      </w:r>
    </w:p>
    <w:p>
      <w:pPr>
        <w:ind w:left="760"/>
        <w:spacing w:after="0" w:line="191" w:lineRule="auto"/>
        <w:rPr>
          <w:sz w:val="20"/>
          <w:szCs w:val="20"/>
          <w:color w:val="auto"/>
        </w:rPr>
      </w:pPr>
      <w:r>
        <w:rPr>
          <w:rFonts w:ascii="Arial" w:cs="Arial" w:eastAsia="Arial" w:hAnsi="Arial"/>
          <w:sz w:val="8"/>
          <w:szCs w:val="8"/>
          <w:color w:val="auto"/>
        </w:rPr>
        <w:t>Total</w:t>
      </w:r>
    </w:p>
    <w:p>
      <w:pPr>
        <w:ind w:left="7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 ​</w:t>
            </w:r>
          </w:p>
        </w:tc>
        <w:tc>
          <w:tcPr>
            <w:tcW w:w="1280" w:type="dxa"/>
            <w:vAlign w:val="bottom"/>
          </w:tcPr>
          <w:p>
            <w:pPr>
              <w:jc w:val="right"/>
              <w:spacing w:after="0"/>
              <w:rPr>
                <w:sz w:val="20"/>
                <w:szCs w:val="20"/>
                <w:color w:val="auto"/>
              </w:rPr>
            </w:pPr>
            <w:r>
              <w:rPr>
                <w:rFonts w:ascii="Arial" w:cs="Arial" w:eastAsia="Arial" w:hAnsi="Arial"/>
                <w:sz w:val="18"/>
                <w:szCs w:val="18"/>
                <w:color w:val="auto"/>
              </w:rPr>
              <w:t>1,260,171</w:t>
            </w:r>
            <w:r>
              <w:rPr>
                <w:rFonts w:ascii="Arial" w:cs="Arial" w:eastAsia="Arial" w:hAnsi="Arial"/>
                <w:sz w:val="23"/>
                <w:szCs w:val="23"/>
                <w:color w:val="auto"/>
                <w:vertAlign w:val="superscript"/>
              </w:rPr>
              <w:t>(1)</w:t>
            </w:r>
          </w:p>
        </w:tc>
        <w:tc>
          <w:tcPr>
            <w:tcW w:w="740" w:type="dxa"/>
            <w:vAlign w:val="bottom"/>
          </w:tcPr>
          <w:p>
            <w:pPr>
              <w:ind w:left="6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7.08</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 ​</w:t>
            </w:r>
          </w:p>
        </w:tc>
        <w:tc>
          <w:tcPr>
            <w:tcW w:w="1400" w:type="dxa"/>
            <w:vAlign w:val="bottom"/>
          </w:tcPr>
          <w:p>
            <w:pPr>
              <w:jc w:val="right"/>
              <w:spacing w:after="0"/>
              <w:rPr>
                <w:sz w:val="20"/>
                <w:szCs w:val="20"/>
                <w:color w:val="auto"/>
              </w:rPr>
            </w:pPr>
            <w:r>
              <w:rPr>
                <w:rFonts w:ascii="Arial" w:cs="Arial" w:eastAsia="Arial" w:hAnsi="Arial"/>
                <w:sz w:val="18"/>
                <w:szCs w:val="18"/>
                <w:color w:val="auto"/>
              </w:rPr>
              <w:t>1,053,123</w:t>
            </w:r>
            <w:r>
              <w:rPr>
                <w:rFonts w:ascii="Arial" w:cs="Arial" w:eastAsia="Arial" w:hAnsi="Arial"/>
                <w:sz w:val="23"/>
                <w:szCs w:val="23"/>
                <w:color w:val="auto"/>
                <w:vertAlign w:val="superscript"/>
              </w:rPr>
              <w:t>(2)</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44"/>
        </w:trPr>
        <w:tc>
          <w:tcPr>
            <w:tcW w:w="460" w:type="dxa"/>
            <w:vAlign w:val="bottom"/>
          </w:tcPr>
          <w:p>
            <w:pPr>
              <w:spacing w:after="0"/>
              <w:rPr>
                <w:sz w:val="20"/>
                <w:szCs w:val="20"/>
                <w:color w:val="auto"/>
              </w:rPr>
            </w:pPr>
            <w:r>
              <w:rPr>
                <w:rFonts w:ascii="Arial" w:cs="Arial" w:eastAsia="Arial" w:hAnsi="Arial"/>
                <w:sz w:val="18"/>
                <w:szCs w:val="18"/>
                <w:color w:val="auto"/>
              </w:rPr>
              <w:t>​ ​</w:t>
            </w:r>
          </w:p>
        </w:tc>
        <w:tc>
          <w:tcPr>
            <w:tcW w:w="1280" w:type="dxa"/>
            <w:vAlign w:val="bottom"/>
          </w:tcPr>
          <w:p>
            <w:pPr>
              <w:jc w:val="right"/>
              <w:spacing w:after="0"/>
              <w:rPr>
                <w:sz w:val="20"/>
                <w:szCs w:val="20"/>
                <w:color w:val="auto"/>
              </w:rPr>
            </w:pPr>
            <w:r>
              <w:rPr>
                <w:rFonts w:ascii="Arial" w:cs="Arial" w:eastAsia="Arial" w:hAnsi="Arial"/>
                <w:sz w:val="18"/>
                <w:szCs w:val="18"/>
                <w:color w:val="auto"/>
              </w:rPr>
              <w:t xml:space="preserve">—   </w:t>
            </w:r>
          </w:p>
        </w:tc>
        <w:tc>
          <w:tcPr>
            <w:tcW w:w="740" w:type="dxa"/>
            <w:vAlign w:val="bottom"/>
          </w:tcPr>
          <w:p>
            <w:pPr>
              <w:ind w:left="60"/>
              <w:spacing w:after="0"/>
              <w:rPr>
                <w:sz w:val="20"/>
                <w:szCs w:val="20"/>
                <w:color w:val="auto"/>
              </w:rPr>
            </w:pPr>
            <w:r>
              <w:rPr>
                <w:rFonts w:ascii="Arial" w:cs="Arial" w:eastAsia="Arial" w:hAnsi="Arial"/>
                <w:sz w:val="18"/>
                <w:szCs w:val="18"/>
                <w:color w:val="auto"/>
              </w:rPr>
              <w:t>​ ​</w:t>
            </w:r>
          </w:p>
        </w:tc>
        <w:tc>
          <w:tcPr>
            <w:tcW w:w="1620" w:type="dxa"/>
            <w:vAlign w:val="bottom"/>
            <w:gridSpan w:val="2"/>
          </w:tcPr>
          <w:p>
            <w:pPr>
              <w:jc w:val="right"/>
              <w:ind w:right="370"/>
              <w:spacing w:after="0"/>
              <w:rPr>
                <w:sz w:val="20"/>
                <w:szCs w:val="20"/>
                <w:color w:val="auto"/>
              </w:rPr>
            </w:pPr>
            <w:r>
              <w:rPr>
                <w:rFonts w:ascii="Arial" w:cs="Arial" w:eastAsia="Arial" w:hAnsi="Arial"/>
                <w:sz w:val="18"/>
                <w:szCs w:val="18"/>
                <w:color w:val="auto"/>
              </w:rPr>
              <w:t>— ​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312"/>
        </w:trPr>
        <w:tc>
          <w:tcPr>
            <w:tcW w:w="460" w:type="dxa"/>
            <w:vAlign w:val="bottom"/>
          </w:tcPr>
          <w:p>
            <w:pPr>
              <w:spacing w:after="0"/>
              <w:rPr>
                <w:sz w:val="20"/>
                <w:szCs w:val="20"/>
                <w:color w:val="auto"/>
              </w:rPr>
            </w:pPr>
            <w:r>
              <w:rPr>
                <w:rFonts w:ascii="Arial" w:cs="Arial" w:eastAsia="Arial" w:hAnsi="Arial"/>
                <w:sz w:val="18"/>
                <w:szCs w:val="18"/>
                <w:color w:val="auto"/>
              </w:rPr>
              <w:t>​ ​</w:t>
            </w:r>
          </w:p>
        </w:tc>
        <w:tc>
          <w:tcPr>
            <w:tcW w:w="1280" w:type="dxa"/>
            <w:vAlign w:val="bottom"/>
          </w:tcPr>
          <w:p>
            <w:pPr>
              <w:jc w:val="right"/>
              <w:spacing w:after="0"/>
              <w:rPr>
                <w:sz w:val="20"/>
                <w:szCs w:val="20"/>
                <w:color w:val="auto"/>
              </w:rPr>
            </w:pPr>
            <w:r>
              <w:rPr>
                <w:rFonts w:ascii="Arial" w:cs="Arial" w:eastAsia="Arial" w:hAnsi="Arial"/>
                <w:sz w:val="18"/>
                <w:szCs w:val="18"/>
                <w:color w:val="auto"/>
              </w:rPr>
              <w:t>1,260,171</w:t>
            </w:r>
            <w:r>
              <w:rPr>
                <w:rFonts w:ascii="Arial" w:cs="Arial" w:eastAsia="Arial" w:hAnsi="Arial"/>
                <w:sz w:val="23"/>
                <w:szCs w:val="23"/>
                <w:color w:val="auto"/>
                <w:vertAlign w:val="superscript"/>
              </w:rPr>
              <w:t>(1)</w:t>
            </w:r>
          </w:p>
        </w:tc>
        <w:tc>
          <w:tcPr>
            <w:tcW w:w="740" w:type="dxa"/>
            <w:vAlign w:val="bottom"/>
          </w:tcPr>
          <w:p>
            <w:pPr>
              <w:ind w:left="6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7.08</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 ​</w:t>
            </w:r>
          </w:p>
        </w:tc>
        <w:tc>
          <w:tcPr>
            <w:tcW w:w="1400" w:type="dxa"/>
            <w:vAlign w:val="bottom"/>
          </w:tcPr>
          <w:p>
            <w:pPr>
              <w:jc w:val="right"/>
              <w:spacing w:after="0"/>
              <w:rPr>
                <w:sz w:val="20"/>
                <w:szCs w:val="20"/>
                <w:color w:val="auto"/>
              </w:rPr>
            </w:pPr>
            <w:r>
              <w:rPr>
                <w:rFonts w:ascii="Arial" w:cs="Arial" w:eastAsia="Arial" w:hAnsi="Arial"/>
                <w:sz w:val="18"/>
                <w:szCs w:val="18"/>
                <w:color w:val="auto"/>
              </w:rPr>
              <w:t>1,053,123</w:t>
            </w:r>
            <w:r>
              <w:rPr>
                <w:rFonts w:ascii="Arial" w:cs="Arial" w:eastAsia="Arial" w:hAnsi="Arial"/>
                <w:sz w:val="23"/>
                <w:szCs w:val="23"/>
                <w:color w:val="auto"/>
                <w:vertAlign w:val="superscript"/>
              </w:rPr>
              <w:t>(2)</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-500380</wp:posOffset>
            </wp:positionV>
            <wp:extent cx="5906135" cy="300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06135" cy="30035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-11430</wp:posOffset>
            </wp:positionV>
            <wp:extent cx="59061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06135" cy="8255"/>
                    </a:xfrm>
                    <a:prstGeom prst="rect">
                      <a:avLst/>
                    </a:prstGeom>
                    <a:noFill/>
                  </pic:spPr>
                </pic:pic>
              </a:graphicData>
            </a:graphic>
          </wp:anchor>
        </w:drawing>
      </w:r>
    </w:p>
    <w:p>
      <w:pPr>
        <w:spacing w:after="0" w:line="12" w:lineRule="exact"/>
        <w:rPr>
          <w:sz w:val="20"/>
          <w:szCs w:val="20"/>
          <w:color w:val="auto"/>
        </w:rPr>
      </w:pPr>
    </w:p>
    <w:p>
      <w:pPr>
        <w:sectPr>
          <w:pgSz w:w="11900" w:h="16838" w:orient="portrait"/>
          <w:cols w:equalWidth="0" w:num="2">
            <w:col w:w="4180" w:space="300"/>
            <w:col w:w="5580"/>
          </w:cols>
          <w:pgMar w:left="580" w:top="97" w:right="1259" w:bottom="1440" w:gutter="0" w:footer="0" w:header="0"/>
          <w:type w:val="continuous"/>
        </w:sectPr>
      </w:pPr>
    </w:p>
    <w:p>
      <w:pPr>
        <w:ind w:left="1060" w:right="60" w:hanging="352"/>
        <w:spacing w:after="0" w:line="281" w:lineRule="auto"/>
        <w:tabs>
          <w:tab w:leader="none" w:pos="1060" w:val="left"/>
        </w:tabs>
        <w:numPr>
          <w:ilvl w:val="0"/>
          <w:numId w:val="34"/>
        </w:numPr>
        <w:rPr>
          <w:rFonts w:ascii="Arial" w:cs="Arial" w:eastAsia="Arial" w:hAnsi="Arial"/>
          <w:sz w:val="14"/>
          <w:szCs w:val="14"/>
          <w:color w:val="395796"/>
        </w:rPr>
      </w:pPr>
      <w:r>
        <w:rPr>
          <w:rFonts w:ascii="Arial" w:cs="Arial" w:eastAsia="Arial" w:hAnsi="Arial"/>
          <w:sz w:val="14"/>
          <w:szCs w:val="14"/>
          <w:color w:val="auto"/>
        </w:rPr>
        <w:t>Does not include 198,554 shares of restricted stock granted under the 2016 Plan which were not vested as of December 31, 2025, and therefore subject to forfeiture. The weighted-average grant-date fair value of these shares of restricted stock was $6.70.</w:t>
      </w:r>
    </w:p>
    <w:p>
      <w:pPr>
        <w:spacing w:after="0" w:line="1" w:lineRule="exact"/>
        <w:rPr>
          <w:rFonts w:ascii="Arial" w:cs="Arial" w:eastAsia="Arial" w:hAnsi="Arial"/>
          <w:sz w:val="14"/>
          <w:szCs w:val="14"/>
          <w:color w:val="395796"/>
        </w:rPr>
      </w:pPr>
    </w:p>
    <w:p>
      <w:pPr>
        <w:jc w:val="both"/>
        <w:ind w:left="1060" w:right="40" w:hanging="352"/>
        <w:spacing w:after="0" w:line="282" w:lineRule="auto"/>
        <w:tabs>
          <w:tab w:leader="none" w:pos="1060" w:val="left"/>
        </w:tabs>
        <w:numPr>
          <w:ilvl w:val="0"/>
          <w:numId w:val="34"/>
        </w:numPr>
        <w:rPr>
          <w:rFonts w:ascii="Arial" w:cs="Arial" w:eastAsia="Arial" w:hAnsi="Arial"/>
          <w:sz w:val="14"/>
          <w:szCs w:val="14"/>
          <w:color w:val="395796"/>
        </w:rPr>
      </w:pPr>
      <w:r>
        <w:rPr>
          <w:rFonts w:ascii="Arial" w:cs="Arial" w:eastAsia="Arial" w:hAnsi="Arial"/>
          <w:sz w:val="14"/>
          <w:szCs w:val="14"/>
          <w:color w:val="auto"/>
        </w:rPr>
        <w:t>Each share issued under awards other than options or stock appreciation rights reduces the number of shares reserved for issuance by two shares (but reduces the maximum annual number of shares that may be granted to a participant only by one share), and each share issued under options or stock appreciation rights reduces the shares reserved for issuance by one share. Includes 731,267 shares of common stock reserved for issuance under our Amended and Restated 1996 Employee Stock Purchase Plan.</w:t>
      </w:r>
    </w:p>
    <w:p>
      <w:pPr>
        <w:sectPr>
          <w:pgSz w:w="11900" w:h="16838" w:orient="portrait"/>
          <w:cols w:equalWidth="0" w:num="1">
            <w:col w:w="10060"/>
          </w:cols>
          <w:pgMar w:left="580" w:top="97"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40" w:hanging="332"/>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385445</wp:posOffset>
            </wp:positionV>
            <wp:extent cx="102870" cy="5829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58293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385445</wp:posOffset>
            </wp:positionV>
            <wp:extent cx="102235" cy="5829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23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463"/>
        </w:trPr>
        <w:tc>
          <w:tcPr>
            <w:tcW w:w="120" w:type="dxa"/>
            <w:vAlign w:val="bottom"/>
          </w:tcPr>
          <w:p>
            <w:pPr>
              <w:spacing w:after="0"/>
              <w:rPr>
                <w:sz w:val="20"/>
                <w:szCs w:val="20"/>
                <w:color w:val="auto"/>
              </w:rPr>
            </w:pPr>
            <w:r>
              <w:rPr>
                <w:rFonts w:ascii="Arial" w:cs="Arial" w:eastAsia="Arial" w:hAnsi="Arial"/>
                <w:sz w:val="32"/>
                <w:szCs w:val="32"/>
                <w:b w:val="1"/>
                <w:bCs w:val="1"/>
                <w:color w:val="FFFFFF"/>
              </w:rPr>
              <w:t>​</w:t>
            </w:r>
          </w:p>
        </w:tc>
        <w:tc>
          <w:tcPr>
            <w:tcW w:w="9060" w:type="dxa"/>
            <w:vAlign w:val="bottom"/>
            <w:shd w:val="clear" w:color="auto" w:fill="395796"/>
          </w:tcPr>
          <w:p>
            <w:pPr>
              <w:spacing w:after="0"/>
              <w:rPr>
                <w:sz w:val="20"/>
                <w:szCs w:val="20"/>
                <w:color w:val="auto"/>
              </w:rPr>
            </w:pPr>
            <w:r>
              <w:rPr>
                <w:rFonts w:ascii="Arial" w:cs="Arial" w:eastAsia="Arial" w:hAnsi="Arial"/>
                <w:sz w:val="32"/>
                <w:szCs w:val="32"/>
                <w:b w:val="1"/>
                <w:bCs w:val="1"/>
                <w:color w:val="FFFFFF"/>
              </w:rPr>
              <w:t>SECURITY OWNERSHIP OF CERTAIN BENEFICIAL</w:t>
            </w:r>
          </w:p>
        </w:tc>
        <w:tc>
          <w:tcPr>
            <w:tcW w:w="80" w:type="dxa"/>
            <w:vAlign w:val="bottom"/>
          </w:tcPr>
          <w:p>
            <w:pPr>
              <w:spacing w:after="0"/>
              <w:rPr>
                <w:sz w:val="20"/>
                <w:szCs w:val="20"/>
                <w:color w:val="auto"/>
              </w:rPr>
            </w:pPr>
            <w:r>
              <w:rPr>
                <w:rFonts w:ascii="Arial" w:cs="Arial" w:eastAsia="Arial" w:hAnsi="Arial"/>
                <w:sz w:val="32"/>
                <w:szCs w:val="32"/>
                <w:b w:val="1"/>
                <w:bCs w:val="1"/>
                <w:color w:val="FFFFFF"/>
              </w:rPr>
              <w:t>​</w:t>
            </w:r>
          </w:p>
        </w:tc>
      </w:tr>
      <w:tr>
        <w:trPr>
          <w:trHeight w:val="415"/>
        </w:trPr>
        <w:tc>
          <w:tcPr>
            <w:tcW w:w="120" w:type="dxa"/>
            <w:vAlign w:val="bottom"/>
          </w:tcPr>
          <w:p>
            <w:pPr>
              <w:spacing w:after="0"/>
              <w:rPr>
                <w:sz w:val="24"/>
                <w:szCs w:val="24"/>
                <w:color w:val="auto"/>
              </w:rPr>
            </w:pPr>
          </w:p>
        </w:tc>
        <w:tc>
          <w:tcPr>
            <w:tcW w:w="9060" w:type="dxa"/>
            <w:vAlign w:val="bottom"/>
            <w:shd w:val="clear" w:color="auto" w:fill="395796"/>
          </w:tcPr>
          <w:p>
            <w:pPr>
              <w:spacing w:after="0"/>
              <w:rPr>
                <w:sz w:val="20"/>
                <w:szCs w:val="20"/>
                <w:color w:val="auto"/>
              </w:rPr>
            </w:pPr>
            <w:r>
              <w:rPr>
                <w:rFonts w:ascii="Arial" w:cs="Arial" w:eastAsia="Arial" w:hAnsi="Arial"/>
                <w:sz w:val="32"/>
                <w:szCs w:val="32"/>
                <w:b w:val="1"/>
                <w:bCs w:val="1"/>
                <w:color w:val="FFFFFF"/>
              </w:rPr>
              <w:t>OWNERS AND MANAGEMENT</w:t>
            </w:r>
            <w:r>
              <w:rPr>
                <w:rFonts w:ascii="Arial" w:cs="Arial" w:eastAsia="Arial" w:hAnsi="Arial"/>
                <w:sz w:val="17"/>
                <w:szCs w:val="17"/>
                <w:color w:val="FFFFFF"/>
              </w:rPr>
              <w:t>​</w:t>
            </w:r>
          </w:p>
        </w:tc>
        <w:tc>
          <w:tcPr>
            <w:tcW w:w="80" w:type="dxa"/>
            <w:vAlign w:val="bottom"/>
          </w:tcPr>
          <w:p>
            <w:pPr>
              <w:spacing w:after="0"/>
              <w:rPr>
                <w:sz w:val="24"/>
                <w:szCs w:val="24"/>
                <w:color w:val="auto"/>
              </w:rPr>
            </w:pPr>
          </w:p>
        </w:tc>
      </w:tr>
      <w:tr>
        <w:trPr>
          <w:trHeight w:val="535"/>
        </w:trPr>
        <w:tc>
          <w:tcPr>
            <w:tcW w:w="9180" w:type="dxa"/>
            <w:vAlign w:val="bottom"/>
            <w:gridSpan w:val="2"/>
          </w:tcPr>
          <w:p>
            <w:pPr>
              <w:spacing w:after="0"/>
              <w:rPr>
                <w:sz w:val="20"/>
                <w:szCs w:val="20"/>
                <w:color w:val="auto"/>
              </w:rPr>
            </w:pPr>
            <w:r>
              <w:rPr>
                <w:rFonts w:ascii="Arial" w:cs="Arial" w:eastAsia="Arial" w:hAnsi="Arial"/>
                <w:sz w:val="18"/>
                <w:szCs w:val="18"/>
                <w:color w:val="auto"/>
              </w:rPr>
              <w:t>At the close of business on April 15, 2026, the record date</w:t>
            </w:r>
          </w:p>
        </w:tc>
        <w:tc>
          <w:tcPr>
            <w:tcW w:w="80" w:type="dxa"/>
            <w:vAlign w:val="bottom"/>
          </w:tcPr>
          <w:p>
            <w:pPr>
              <w:spacing w:after="0"/>
              <w:rPr>
                <w:sz w:val="24"/>
                <w:szCs w:val="24"/>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for the annual meeting, there were 19,494,412 shares of</w:t>
            </w:r>
          </w:p>
        </w:tc>
        <w:tc>
          <w:tcPr>
            <w:tcW w:w="80" w:type="dxa"/>
            <w:vAlign w:val="bottom"/>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our common stock outstanding. On that date, the closing</w:t>
            </w:r>
          </w:p>
        </w:tc>
        <w:tc>
          <w:tcPr>
            <w:tcW w:w="80" w:type="dxa"/>
            <w:vAlign w:val="bottom"/>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price of our common stock as reported on the Nasdaq</w:t>
            </w:r>
          </w:p>
        </w:tc>
        <w:tc>
          <w:tcPr>
            <w:tcW w:w="80" w:type="dxa"/>
            <w:vAlign w:val="bottom"/>
          </w:tcPr>
          <w:p>
            <w:pPr>
              <w:spacing w:after="0"/>
              <w:rPr>
                <w:sz w:val="18"/>
                <w:szCs w:val="18"/>
                <w:color w:val="auto"/>
              </w:rPr>
            </w:pPr>
          </w:p>
        </w:tc>
      </w:tr>
      <w:tr>
        <w:trPr>
          <w:trHeight w:val="239"/>
        </w:trPr>
        <w:tc>
          <w:tcPr>
            <w:tcW w:w="9180" w:type="dxa"/>
            <w:vAlign w:val="bottom"/>
            <w:gridSpan w:val="2"/>
          </w:tcPr>
          <w:p>
            <w:pPr>
              <w:spacing w:after="0"/>
              <w:rPr>
                <w:sz w:val="20"/>
                <w:szCs w:val="20"/>
                <w:color w:val="auto"/>
              </w:rPr>
            </w:pPr>
            <w:r>
              <w:rPr>
                <w:rFonts w:ascii="Arial" w:cs="Arial" w:eastAsia="Arial" w:hAnsi="Arial"/>
                <w:sz w:val="18"/>
                <w:szCs w:val="18"/>
                <w:color w:val="auto"/>
              </w:rPr>
              <w:t>Global Select Market was $9.25 per share.</w:t>
            </w:r>
          </w:p>
        </w:tc>
        <w:tc>
          <w:tcPr>
            <w:tcW w:w="80" w:type="dxa"/>
            <w:vAlign w:val="bottom"/>
          </w:tcPr>
          <w:p>
            <w:pPr>
              <w:spacing w:after="0"/>
              <w:rPr>
                <w:sz w:val="20"/>
                <w:szCs w:val="20"/>
                <w:color w:val="auto"/>
              </w:rPr>
            </w:pPr>
          </w:p>
        </w:tc>
      </w:tr>
      <w:tr>
        <w:trPr>
          <w:trHeight w:val="373"/>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Principal stockholders</w:t>
            </w:r>
          </w:p>
        </w:tc>
        <w:tc>
          <w:tcPr>
            <w:tcW w:w="80" w:type="dxa"/>
            <w:vAlign w:val="bottom"/>
          </w:tcPr>
          <w:p>
            <w:pPr>
              <w:spacing w:after="0"/>
              <w:rPr>
                <w:sz w:val="24"/>
                <w:szCs w:val="24"/>
                <w:color w:val="auto"/>
              </w:rPr>
            </w:pPr>
          </w:p>
        </w:tc>
      </w:tr>
      <w:tr>
        <w:trPr>
          <w:trHeight w:val="293"/>
        </w:trPr>
        <w:tc>
          <w:tcPr>
            <w:tcW w:w="9180" w:type="dxa"/>
            <w:vAlign w:val="bottom"/>
            <w:gridSpan w:val="2"/>
          </w:tcPr>
          <w:p>
            <w:pPr>
              <w:spacing w:after="0"/>
              <w:rPr>
                <w:sz w:val="20"/>
                <w:szCs w:val="20"/>
                <w:color w:val="auto"/>
              </w:rPr>
            </w:pPr>
            <w:r>
              <w:rPr>
                <w:rFonts w:ascii="Arial" w:cs="Arial" w:eastAsia="Arial" w:hAnsi="Arial"/>
                <w:sz w:val="18"/>
                <w:szCs w:val="18"/>
                <w:color w:val="auto"/>
              </w:rPr>
              <w:t>The  following  table  provides,  to  the  knowledge  of</w:t>
            </w:r>
          </w:p>
        </w:tc>
        <w:tc>
          <w:tcPr>
            <w:tcW w:w="80" w:type="dxa"/>
            <w:vAlign w:val="bottom"/>
          </w:tcPr>
          <w:p>
            <w:pPr>
              <w:spacing w:after="0"/>
              <w:rPr>
                <w:sz w:val="24"/>
                <w:szCs w:val="24"/>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management,  information  regarding  the  beneficial</w:t>
            </w:r>
          </w:p>
        </w:tc>
        <w:tc>
          <w:tcPr>
            <w:tcW w:w="80" w:type="dxa"/>
            <w:vAlign w:val="bottom"/>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ownership of our common stock as of April 15, 2026, the</w:t>
            </w:r>
          </w:p>
        </w:tc>
        <w:tc>
          <w:tcPr>
            <w:tcW w:w="80" w:type="dxa"/>
            <w:vAlign w:val="bottom"/>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record date for the annual meeting, or as otherwise noted,</w:t>
            </w:r>
          </w:p>
        </w:tc>
        <w:tc>
          <w:tcPr>
            <w:tcW w:w="80" w:type="dxa"/>
            <w:vAlign w:val="bottom"/>
          </w:tcPr>
          <w:p>
            <w:pPr>
              <w:spacing w:after="0"/>
              <w:rPr>
                <w:sz w:val="18"/>
                <w:szCs w:val="18"/>
                <w:color w:val="auto"/>
              </w:rPr>
            </w:pPr>
          </w:p>
        </w:tc>
      </w:tr>
      <w:tr>
        <w:trPr>
          <w:trHeight w:val="239"/>
        </w:trPr>
        <w:tc>
          <w:tcPr>
            <w:tcW w:w="9180" w:type="dxa"/>
            <w:vAlign w:val="bottom"/>
            <w:gridSpan w:val="2"/>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0"/>
                <w:szCs w:val="20"/>
                <w:color w:val="auto"/>
              </w:rPr>
            </w:pPr>
          </w:p>
        </w:tc>
      </w:tr>
      <w:tr>
        <w:trPr>
          <w:trHeight w:val="301"/>
        </w:trPr>
        <w:tc>
          <w:tcPr>
            <w:tcW w:w="9180" w:type="dxa"/>
            <w:vAlign w:val="bottom"/>
            <w:gridSpan w:val="2"/>
          </w:tcPr>
          <w:p>
            <w:pPr>
              <w:spacing w:after="0"/>
              <w:rPr>
                <w:sz w:val="20"/>
                <w:szCs w:val="20"/>
                <w:color w:val="auto"/>
              </w:rPr>
            </w:pPr>
            <w:r>
              <w:rPr>
                <w:rFonts w:ascii="Arial" w:cs="Arial" w:eastAsia="Arial" w:hAnsi="Arial"/>
                <w:sz w:val="18"/>
                <w:szCs w:val="18"/>
                <w:color w:val="395796"/>
              </w:rPr>
              <w:t xml:space="preserve">•   </w:t>
            </w:r>
            <w:r>
              <w:rPr>
                <w:rFonts w:ascii="Arial" w:cs="Arial" w:eastAsia="Arial" w:hAnsi="Arial"/>
                <w:sz w:val="18"/>
                <w:szCs w:val="18"/>
                <w:color w:val="000000"/>
              </w:rPr>
              <w:t>each person known by us to be the beneficial owner of</w:t>
            </w:r>
          </w:p>
        </w:tc>
        <w:tc>
          <w:tcPr>
            <w:tcW w:w="80" w:type="dxa"/>
            <w:vAlign w:val="bottom"/>
          </w:tcPr>
          <w:p>
            <w:pPr>
              <w:spacing w:after="0"/>
              <w:rPr>
                <w:sz w:val="24"/>
                <w:szCs w:val="24"/>
                <w:color w:val="auto"/>
              </w:rPr>
            </w:pPr>
          </w:p>
        </w:tc>
      </w:tr>
      <w:tr>
        <w:trPr>
          <w:trHeight w:val="239"/>
        </w:trPr>
        <w:tc>
          <w:tcPr>
            <w:tcW w:w="12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more than five percent of our common stock;</w:t>
            </w:r>
          </w:p>
        </w:tc>
        <w:tc>
          <w:tcPr>
            <w:tcW w:w="80" w:type="dxa"/>
            <w:vAlign w:val="bottom"/>
          </w:tcPr>
          <w:p>
            <w:pPr>
              <w:spacing w:after="0"/>
              <w:rPr>
                <w:sz w:val="20"/>
                <w:szCs w:val="20"/>
                <w:color w:val="auto"/>
              </w:rPr>
            </w:pP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395796"/>
              </w:rPr>
              <w:t xml:space="preserve">•   </w:t>
            </w:r>
            <w:r>
              <w:rPr>
                <w:rFonts w:ascii="Arial" w:cs="Arial" w:eastAsia="Arial" w:hAnsi="Arial"/>
                <w:sz w:val="18"/>
                <w:szCs w:val="18"/>
                <w:color w:val="000000"/>
              </w:rPr>
              <w:t>each of our directors;</w:t>
            </w:r>
          </w:p>
        </w:tc>
        <w:tc>
          <w:tcPr>
            <w:tcW w:w="80" w:type="dxa"/>
            <w:vAlign w:val="bottom"/>
          </w:tcPr>
          <w:p>
            <w:pPr>
              <w:spacing w:after="0"/>
              <w:rPr>
                <w:sz w:val="24"/>
                <w:szCs w:val="24"/>
                <w:color w:val="auto"/>
              </w:rPr>
            </w:pP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395796"/>
              </w:rPr>
              <w:t xml:space="preserve">•   </w:t>
            </w:r>
            <w:r>
              <w:rPr>
                <w:rFonts w:ascii="Arial" w:cs="Arial" w:eastAsia="Arial" w:hAnsi="Arial"/>
                <w:sz w:val="18"/>
                <w:szCs w:val="18"/>
                <w:color w:val="000000"/>
              </w:rPr>
              <w:t>each nominee for election as a director;</w:t>
            </w:r>
          </w:p>
        </w:tc>
        <w:tc>
          <w:tcPr>
            <w:tcW w:w="80" w:type="dxa"/>
            <w:vAlign w:val="bottom"/>
          </w:tcPr>
          <w:p>
            <w:pPr>
              <w:spacing w:after="0"/>
              <w:rPr>
                <w:sz w:val="24"/>
                <w:szCs w:val="24"/>
                <w:color w:val="auto"/>
              </w:rPr>
            </w:pPr>
          </w:p>
        </w:tc>
      </w:tr>
      <w:tr>
        <w:trPr>
          <w:trHeight w:val="301"/>
        </w:trPr>
        <w:tc>
          <w:tcPr>
            <w:tcW w:w="9180" w:type="dxa"/>
            <w:vAlign w:val="bottom"/>
            <w:gridSpan w:val="2"/>
          </w:tcPr>
          <w:p>
            <w:pPr>
              <w:spacing w:after="0"/>
              <w:rPr>
                <w:sz w:val="20"/>
                <w:szCs w:val="20"/>
                <w:color w:val="auto"/>
              </w:rPr>
            </w:pPr>
            <w:r>
              <w:rPr>
                <w:rFonts w:ascii="Arial" w:cs="Arial" w:eastAsia="Arial" w:hAnsi="Arial"/>
                <w:sz w:val="18"/>
                <w:szCs w:val="18"/>
                <w:color w:val="395796"/>
              </w:rPr>
              <w:t xml:space="preserve">•   </w:t>
            </w:r>
            <w:r>
              <w:rPr>
                <w:rFonts w:ascii="Arial" w:cs="Arial" w:eastAsia="Arial" w:hAnsi="Arial"/>
                <w:sz w:val="18"/>
                <w:szCs w:val="18"/>
                <w:color w:val="000000"/>
              </w:rPr>
              <w:t>each  executive  officer  named  in  the  summary</w:t>
            </w:r>
          </w:p>
        </w:tc>
        <w:tc>
          <w:tcPr>
            <w:tcW w:w="80" w:type="dxa"/>
            <w:vAlign w:val="bottom"/>
          </w:tcPr>
          <w:p>
            <w:pPr>
              <w:spacing w:after="0"/>
              <w:rPr>
                <w:sz w:val="24"/>
                <w:szCs w:val="24"/>
                <w:color w:val="auto"/>
              </w:rPr>
            </w:pPr>
          </w:p>
        </w:tc>
      </w:tr>
      <w:tr>
        <w:trPr>
          <w:trHeight w:val="239"/>
        </w:trPr>
        <w:tc>
          <w:tcPr>
            <w:tcW w:w="12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compensation table; and</w:t>
            </w:r>
          </w:p>
        </w:tc>
        <w:tc>
          <w:tcPr>
            <w:tcW w:w="80" w:type="dxa"/>
            <w:vAlign w:val="bottom"/>
          </w:tcPr>
          <w:p>
            <w:pPr>
              <w:spacing w:after="0"/>
              <w:rPr>
                <w:sz w:val="20"/>
                <w:szCs w:val="20"/>
                <w:color w:val="auto"/>
              </w:rPr>
            </w:pPr>
          </w:p>
        </w:tc>
      </w:tr>
      <w:tr>
        <w:trPr>
          <w:trHeight w:val="301"/>
        </w:trPr>
        <w:tc>
          <w:tcPr>
            <w:tcW w:w="9180" w:type="dxa"/>
            <w:vAlign w:val="bottom"/>
            <w:gridSpan w:val="2"/>
          </w:tcPr>
          <w:p>
            <w:pPr>
              <w:spacing w:after="0"/>
              <w:rPr>
                <w:sz w:val="20"/>
                <w:szCs w:val="20"/>
                <w:color w:val="auto"/>
              </w:rPr>
            </w:pPr>
            <w:r>
              <w:rPr>
                <w:rFonts w:ascii="Arial" w:cs="Arial" w:eastAsia="Arial" w:hAnsi="Arial"/>
                <w:sz w:val="18"/>
                <w:szCs w:val="18"/>
                <w:color w:val="395796"/>
              </w:rPr>
              <w:t xml:space="preserve">•   </w:t>
            </w:r>
            <w:r>
              <w:rPr>
                <w:rFonts w:ascii="Arial" w:cs="Arial" w:eastAsia="Arial" w:hAnsi="Arial"/>
                <w:sz w:val="18"/>
                <w:szCs w:val="18"/>
                <w:color w:val="000000"/>
              </w:rPr>
              <w:t>all of our current directors and executive officers as a</w:t>
            </w:r>
          </w:p>
        </w:tc>
        <w:tc>
          <w:tcPr>
            <w:tcW w:w="80" w:type="dxa"/>
            <w:vAlign w:val="bottom"/>
          </w:tcPr>
          <w:p>
            <w:pPr>
              <w:spacing w:after="0"/>
              <w:rPr>
                <w:sz w:val="24"/>
                <w:szCs w:val="24"/>
                <w:color w:val="auto"/>
              </w:rPr>
            </w:pPr>
          </w:p>
        </w:tc>
      </w:tr>
      <w:tr>
        <w:trPr>
          <w:trHeight w:val="239"/>
        </w:trPr>
        <w:tc>
          <w:tcPr>
            <w:tcW w:w="12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group.</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-3113405</wp:posOffset>
            </wp:positionV>
            <wp:extent cx="2691765" cy="19716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91765" cy="197167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280"/>
        <w:spacing w:after="0"/>
        <w:rPr>
          <w:sz w:val="20"/>
          <w:szCs w:val="20"/>
          <w:color w:val="auto"/>
        </w:rPr>
      </w:pPr>
      <w:r>
        <w:rPr>
          <w:rFonts w:ascii="Arial" w:cs="Arial" w:eastAsia="Arial" w:hAnsi="Arial"/>
          <w:sz w:val="17"/>
          <w:szCs w:val="17"/>
          <w:color w:val="395796"/>
        </w:rPr>
        <w:t xml:space="preserve">KVH Industries, Inc. 2026 Proxy Statement  </w:t>
      </w:r>
      <w:r>
        <w:rPr>
          <w:rFonts w:ascii="Arial" w:cs="Arial" w:eastAsia="Arial" w:hAnsi="Arial"/>
          <w:sz w:val="17"/>
          <w:szCs w:val="17"/>
          <w:color w:val="000000"/>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60"/>
          </w:cols>
          <w:pgMar w:left="580" w:top="97" w:right="135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395796"/>
        </w:rPr>
        <w:t>SECURITY OWNERSHIP OF CERTAIN BENEFICIAL OWNERS AND MANAGEMENT</w:t>
      </w:r>
    </w:p>
    <w:p>
      <w:pPr>
        <w:spacing w:after="0" w:line="185" w:lineRule="exact"/>
        <w:rPr>
          <w:sz w:val="20"/>
          <w:szCs w:val="20"/>
          <w:color w:val="auto"/>
        </w:rPr>
      </w:pPr>
    </w:p>
    <w:p>
      <w:pPr>
        <w:jc w:val="both"/>
        <w:ind w:left="700" w:right="40"/>
        <w:spacing w:after="0" w:line="259" w:lineRule="auto"/>
        <w:rPr>
          <w:sz w:val="20"/>
          <w:szCs w:val="20"/>
          <w:color w:val="auto"/>
        </w:rPr>
      </w:pPr>
      <w:r>
        <w:rPr>
          <w:rFonts w:ascii="Arial" w:cs="Arial" w:eastAsia="Arial" w:hAnsi="Arial"/>
          <w:sz w:val="18"/>
          <w:szCs w:val="18"/>
          <w:color w:val="auto"/>
        </w:rPr>
        <w:t>The persons named in this table have sole voting and investment power with respect to the shares listed, except as otherwise indicated. The inclusion of shares listed as beneficially owned does not constitute an admission of beneficial ownership. Shares included in the “Right to acquire” column consist of shares that may be purchased through the exercise of options that are vested or will vest within 60 days after April 15, 2026, the record date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83185</wp:posOffset>
            </wp:positionV>
            <wp:extent cx="34290" cy="3517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351790"/>
                    </a:xfrm>
                    <a:prstGeom prst="rect">
                      <a:avLst/>
                    </a:prstGeom>
                    <a:noFill/>
                  </pic:spPr>
                </pic:pic>
              </a:graphicData>
            </a:graphic>
          </wp:anchor>
        </w:drawing>
      </w:r>
    </w:p>
    <w:p>
      <w:pPr>
        <w:spacing w:after="0" w:line="111" w:lineRule="exact"/>
        <w:rPr>
          <w:sz w:val="20"/>
          <w:szCs w:val="20"/>
          <w:color w:val="auto"/>
        </w:rPr>
      </w:pPr>
    </w:p>
    <w:tbl>
      <w:tblPr>
        <w:tblLayout w:type="fixed"/>
        <w:tblInd w:w="700" w:type="dxa"/>
        <w:tblCellMar>
          <w:top w:w="0" w:type="dxa"/>
          <w:left w:w="0" w:type="dxa"/>
          <w:bottom w:w="0" w:type="dxa"/>
          <w:right w:w="0" w:type="dxa"/>
        </w:tblCellMar>
      </w:tblPr>
      <w:tr>
        <w:trPr>
          <w:trHeight w:val="209"/>
        </w:trPr>
        <w:tc>
          <w:tcPr>
            <w:tcW w:w="160" w:type="dxa"/>
            <w:vAlign w:val="bottom"/>
            <w:gridSpan w:val="2"/>
            <w:shd w:val="clear" w:color="auto" w:fill="395796"/>
          </w:tcPr>
          <w:p>
            <w:pPr>
              <w:jc w:val="right"/>
              <w:spacing w:after="0"/>
              <w:rPr>
                <w:sz w:val="20"/>
                <w:szCs w:val="20"/>
                <w:color w:val="auto"/>
              </w:rPr>
            </w:pPr>
            <w:r>
              <w:rPr>
                <w:rFonts w:ascii="Arial" w:cs="Arial" w:eastAsia="Arial" w:hAnsi="Arial"/>
                <w:sz w:val="14"/>
                <w:szCs w:val="14"/>
                <w:b w:val="1"/>
                <w:bCs w:val="1"/>
                <w:color w:val="FFFFFF"/>
              </w:rPr>
              <w:t>​​</w:t>
            </w:r>
          </w:p>
        </w:tc>
        <w:tc>
          <w:tcPr>
            <w:tcW w:w="5580" w:type="dxa"/>
            <w:vAlign w:val="bottom"/>
            <w:shd w:val="clear" w:color="auto" w:fill="395796"/>
          </w:tcPr>
          <w:p>
            <w:pPr>
              <w:spacing w:after="0"/>
              <w:rPr>
                <w:sz w:val="18"/>
                <w:szCs w:val="18"/>
                <w:color w:val="auto"/>
              </w:rPr>
            </w:pPr>
          </w:p>
        </w:tc>
        <w:tc>
          <w:tcPr>
            <w:tcW w:w="280" w:type="dxa"/>
            <w:vAlign w:val="bottom"/>
            <w:shd w:val="clear" w:color="auto" w:fill="395796"/>
          </w:tcPr>
          <w:p>
            <w:pPr>
              <w:spacing w:after="0"/>
              <w:rPr>
                <w:sz w:val="20"/>
                <w:szCs w:val="20"/>
                <w:color w:val="auto"/>
              </w:rPr>
            </w:pPr>
            <w:r>
              <w:rPr>
                <w:rFonts w:ascii="Arial" w:cs="Arial" w:eastAsia="Arial" w:hAnsi="Arial"/>
                <w:sz w:val="14"/>
                <w:szCs w:val="14"/>
                <w:b w:val="1"/>
                <w:bCs w:val="1"/>
                <w:color w:val="FFFFFF"/>
              </w:rPr>
              <w:t>​ ​</w:t>
            </w:r>
          </w:p>
        </w:tc>
        <w:tc>
          <w:tcPr>
            <w:tcW w:w="740" w:type="dxa"/>
            <w:vAlign w:val="bottom"/>
            <w:shd w:val="clear" w:color="auto" w:fill="395796"/>
          </w:tcPr>
          <w:p>
            <w:pPr>
              <w:spacing w:after="0"/>
              <w:rPr>
                <w:sz w:val="18"/>
                <w:szCs w:val="18"/>
                <w:color w:val="auto"/>
              </w:rPr>
            </w:pPr>
          </w:p>
        </w:tc>
        <w:tc>
          <w:tcPr>
            <w:tcW w:w="1840" w:type="dxa"/>
            <w:vAlign w:val="bottom"/>
            <w:gridSpan w:val="5"/>
            <w:shd w:val="clear" w:color="auto" w:fill="395796"/>
          </w:tcPr>
          <w:p>
            <w:pPr>
              <w:ind w:left="20"/>
              <w:spacing w:after="0"/>
              <w:rPr>
                <w:sz w:val="20"/>
                <w:szCs w:val="20"/>
                <w:color w:val="auto"/>
              </w:rPr>
            </w:pPr>
            <w:r>
              <w:rPr>
                <w:rFonts w:ascii="Arial" w:cs="Arial" w:eastAsia="Arial" w:hAnsi="Arial"/>
                <w:sz w:val="14"/>
                <w:szCs w:val="14"/>
                <w:b w:val="1"/>
                <w:bCs w:val="1"/>
                <w:color w:val="FFFFFF"/>
              </w:rPr>
              <w:t>Shares beneficially owned</w:t>
            </w:r>
          </w:p>
        </w:tc>
        <w:tc>
          <w:tcPr>
            <w:tcW w:w="200" w:type="dxa"/>
            <w:vAlign w:val="bottom"/>
            <w:shd w:val="clear" w:color="auto" w:fill="395796"/>
          </w:tcPr>
          <w:p>
            <w:pPr>
              <w:spacing w:after="0"/>
              <w:rPr>
                <w:sz w:val="18"/>
                <w:szCs w:val="18"/>
                <w:color w:val="auto"/>
              </w:rPr>
            </w:pPr>
          </w:p>
        </w:tc>
        <w:tc>
          <w:tcPr>
            <w:tcW w:w="440" w:type="dxa"/>
            <w:vAlign w:val="bottom"/>
            <w:shd w:val="clear" w:color="auto" w:fill="395796"/>
          </w:tcPr>
          <w:p>
            <w:pPr>
              <w:spacing w:after="0"/>
              <w:rPr>
                <w:sz w:val="18"/>
                <w:szCs w:val="18"/>
                <w:color w:val="auto"/>
              </w:rPr>
            </w:pPr>
          </w:p>
        </w:tc>
        <w:tc>
          <w:tcPr>
            <w:tcW w:w="20" w:type="dxa"/>
            <w:vAlign w:val="bottom"/>
            <w:shd w:val="clear" w:color="auto" w:fill="395796"/>
          </w:tcPr>
          <w:p>
            <w:pPr>
              <w:spacing w:after="0"/>
              <w:rPr>
                <w:sz w:val="18"/>
                <w:szCs w:val="18"/>
                <w:color w:val="auto"/>
              </w:rPr>
            </w:pPr>
          </w:p>
        </w:tc>
        <w:tc>
          <w:tcPr>
            <w:tcW w:w="40" w:type="dxa"/>
            <w:vAlign w:val="bottom"/>
            <w:shd w:val="clear" w:color="auto" w:fill="395796"/>
          </w:tcPr>
          <w:p>
            <w:pPr>
              <w:spacing w:after="0"/>
              <w:rPr>
                <w:sz w:val="20"/>
                <w:szCs w:val="20"/>
                <w:color w:val="auto"/>
              </w:rPr>
            </w:pPr>
            <w:r>
              <w:rPr>
                <w:rFonts w:ascii="Arial" w:cs="Arial" w:eastAsia="Arial" w:hAnsi="Arial"/>
                <w:sz w:val="14"/>
                <w:szCs w:val="14"/>
                <w:b w:val="1"/>
                <w:bCs w:val="1"/>
                <w:color w:val="FFFFFF"/>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00" w:type="dxa"/>
            <w:vAlign w:val="bottom"/>
            <w:shd w:val="clear" w:color="auto" w:fill="395796"/>
          </w:tcPr>
          <w:p>
            <w:pPr>
              <w:spacing w:after="0"/>
              <w:rPr>
                <w:sz w:val="15"/>
                <w:szCs w:val="15"/>
                <w:color w:val="auto"/>
              </w:rPr>
            </w:pPr>
          </w:p>
        </w:tc>
        <w:tc>
          <w:tcPr>
            <w:tcW w:w="5580" w:type="dxa"/>
            <w:vAlign w:val="bottom"/>
            <w:shd w:val="clear" w:color="auto" w:fill="395796"/>
          </w:tcPr>
          <w:p>
            <w:pPr>
              <w:spacing w:after="0"/>
              <w:rPr>
                <w:sz w:val="15"/>
                <w:szCs w:val="15"/>
                <w:color w:val="auto"/>
              </w:rPr>
            </w:pPr>
          </w:p>
        </w:tc>
        <w:tc>
          <w:tcPr>
            <w:tcW w:w="280" w:type="dxa"/>
            <w:vAlign w:val="bottom"/>
            <w:shd w:val="clear" w:color="auto" w:fill="395796"/>
          </w:tcPr>
          <w:p>
            <w:pPr>
              <w:spacing w:after="0"/>
              <w:rPr>
                <w:sz w:val="15"/>
                <w:szCs w:val="15"/>
                <w:color w:val="auto"/>
              </w:rPr>
            </w:pPr>
          </w:p>
        </w:tc>
        <w:tc>
          <w:tcPr>
            <w:tcW w:w="740" w:type="dxa"/>
            <w:vAlign w:val="bottom"/>
            <w:shd w:val="clear" w:color="auto" w:fill="395796"/>
          </w:tcPr>
          <w:p>
            <w:pPr>
              <w:spacing w:after="0"/>
              <w:rPr>
                <w:sz w:val="15"/>
                <w:szCs w:val="15"/>
                <w:color w:val="auto"/>
              </w:rPr>
            </w:pPr>
          </w:p>
        </w:tc>
        <w:tc>
          <w:tcPr>
            <w:tcW w:w="80" w:type="dxa"/>
            <w:vAlign w:val="bottom"/>
            <w:shd w:val="clear" w:color="auto" w:fill="395796"/>
          </w:tcPr>
          <w:p>
            <w:pPr>
              <w:spacing w:after="0"/>
              <w:rPr>
                <w:sz w:val="15"/>
                <w:szCs w:val="15"/>
                <w:color w:val="auto"/>
              </w:rPr>
            </w:pPr>
          </w:p>
        </w:tc>
        <w:tc>
          <w:tcPr>
            <w:tcW w:w="200" w:type="dxa"/>
            <w:vAlign w:val="bottom"/>
            <w:shd w:val="clear" w:color="auto" w:fill="395796"/>
          </w:tcPr>
          <w:p>
            <w:pPr>
              <w:spacing w:after="0"/>
              <w:rPr>
                <w:sz w:val="15"/>
                <w:szCs w:val="15"/>
                <w:color w:val="auto"/>
              </w:rPr>
            </w:pPr>
          </w:p>
        </w:tc>
        <w:tc>
          <w:tcPr>
            <w:tcW w:w="620" w:type="dxa"/>
            <w:vAlign w:val="bottom"/>
            <w:shd w:val="clear" w:color="auto" w:fill="395796"/>
          </w:tcPr>
          <w:p>
            <w:pPr>
              <w:jc w:val="right"/>
              <w:ind w:right="42"/>
              <w:spacing w:after="0"/>
              <w:rPr>
                <w:sz w:val="20"/>
                <w:szCs w:val="20"/>
                <w:color w:val="auto"/>
              </w:rPr>
            </w:pPr>
            <w:r>
              <w:rPr>
                <w:rFonts w:ascii="Arial" w:cs="Arial" w:eastAsia="Arial" w:hAnsi="Arial"/>
                <w:sz w:val="14"/>
                <w:szCs w:val="14"/>
                <w:b w:val="1"/>
                <w:bCs w:val="1"/>
                <w:color w:val="FFFFFF"/>
                <w:w w:val="90"/>
              </w:rPr>
              <w:t>Right to</w:t>
            </w:r>
          </w:p>
        </w:tc>
        <w:tc>
          <w:tcPr>
            <w:tcW w:w="240" w:type="dxa"/>
            <w:vAlign w:val="bottom"/>
            <w:shd w:val="clear" w:color="auto" w:fill="395796"/>
          </w:tcPr>
          <w:p>
            <w:pPr>
              <w:spacing w:after="0"/>
              <w:rPr>
                <w:sz w:val="15"/>
                <w:szCs w:val="15"/>
                <w:color w:val="auto"/>
              </w:rPr>
            </w:pPr>
          </w:p>
        </w:tc>
        <w:tc>
          <w:tcPr>
            <w:tcW w:w="700" w:type="dxa"/>
            <w:vAlign w:val="bottom"/>
            <w:shd w:val="clear" w:color="auto" w:fill="395796"/>
          </w:tcPr>
          <w:p>
            <w:pPr>
              <w:spacing w:after="0"/>
              <w:rPr>
                <w:sz w:val="15"/>
                <w:szCs w:val="15"/>
                <w:color w:val="auto"/>
              </w:rPr>
            </w:pPr>
          </w:p>
        </w:tc>
        <w:tc>
          <w:tcPr>
            <w:tcW w:w="200" w:type="dxa"/>
            <w:vAlign w:val="bottom"/>
            <w:shd w:val="clear" w:color="auto" w:fill="395796"/>
          </w:tcPr>
          <w:p>
            <w:pPr>
              <w:spacing w:after="0"/>
              <w:rPr>
                <w:sz w:val="15"/>
                <w:szCs w:val="15"/>
                <w:color w:val="auto"/>
              </w:rPr>
            </w:pPr>
          </w:p>
        </w:tc>
        <w:tc>
          <w:tcPr>
            <w:tcW w:w="440" w:type="dxa"/>
            <w:vAlign w:val="bottom"/>
            <w:shd w:val="clear" w:color="auto" w:fill="395796"/>
          </w:tcPr>
          <w:p>
            <w:pPr>
              <w:spacing w:after="0"/>
              <w:rPr>
                <w:sz w:val="15"/>
                <w:szCs w:val="15"/>
                <w:color w:val="auto"/>
              </w:rPr>
            </w:pPr>
          </w:p>
        </w:tc>
        <w:tc>
          <w:tcPr>
            <w:tcW w:w="20" w:type="dxa"/>
            <w:vAlign w:val="bottom"/>
            <w:shd w:val="clear" w:color="auto" w:fill="395796"/>
          </w:tcPr>
          <w:p>
            <w:pPr>
              <w:spacing w:after="0"/>
              <w:rPr>
                <w:sz w:val="15"/>
                <w:szCs w:val="15"/>
                <w:color w:val="auto"/>
              </w:rPr>
            </w:pPr>
          </w:p>
        </w:tc>
        <w:tc>
          <w:tcPr>
            <w:tcW w:w="40" w:type="dxa"/>
            <w:vAlign w:val="bottom"/>
            <w:shd w:val="clear" w:color="auto" w:fill="395796"/>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0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w:t>
            </w:r>
          </w:p>
        </w:tc>
        <w:tc>
          <w:tcPr>
            <w:tcW w:w="5580" w:type="dxa"/>
            <w:vAlign w:val="bottom"/>
            <w:shd w:val="clear" w:color="auto" w:fill="395796"/>
          </w:tcPr>
          <w:p>
            <w:pPr>
              <w:spacing w:after="0"/>
              <w:rPr>
                <w:sz w:val="14"/>
                <w:szCs w:val="14"/>
                <w:color w:val="auto"/>
              </w:rPr>
            </w:pPr>
          </w:p>
        </w:tc>
        <w:tc>
          <w:tcPr>
            <w:tcW w:w="1100" w:type="dxa"/>
            <w:vAlign w:val="bottom"/>
            <w:gridSpan w:val="3"/>
            <w:shd w:val="clear" w:color="auto" w:fill="395796"/>
          </w:tcPr>
          <w:p>
            <w:pPr>
              <w:ind w:left="100"/>
              <w:spacing w:after="0"/>
              <w:rPr>
                <w:sz w:val="20"/>
                <w:szCs w:val="20"/>
                <w:color w:val="auto"/>
              </w:rPr>
            </w:pPr>
            <w:r>
              <w:rPr>
                <w:rFonts w:ascii="Arial" w:cs="Arial" w:eastAsia="Arial" w:hAnsi="Arial"/>
                <w:sz w:val="14"/>
                <w:szCs w:val="14"/>
                <w:b w:val="1"/>
                <w:bCs w:val="1"/>
                <w:color w:val="FFFFFF"/>
              </w:rPr>
              <w:t>​ ​Outstanding</w:t>
            </w:r>
          </w:p>
        </w:tc>
        <w:tc>
          <w:tcPr>
            <w:tcW w:w="200" w:type="dxa"/>
            <w:vAlign w:val="bottom"/>
            <w:shd w:val="clear" w:color="auto" w:fill="395796"/>
          </w:tcPr>
          <w:p>
            <w:pPr>
              <w:ind w:left="40"/>
              <w:spacing w:after="0"/>
              <w:rPr>
                <w:sz w:val="20"/>
                <w:szCs w:val="20"/>
                <w:color w:val="auto"/>
              </w:rPr>
            </w:pPr>
            <w:r>
              <w:rPr>
                <w:rFonts w:ascii="Arial" w:cs="Arial" w:eastAsia="Arial" w:hAnsi="Arial"/>
                <w:sz w:val="14"/>
                <w:szCs w:val="14"/>
                <w:b w:val="1"/>
                <w:bCs w:val="1"/>
                <w:color w:val="FFFFFF"/>
              </w:rPr>
              <w:t>​ ​</w:t>
            </w:r>
          </w:p>
        </w:tc>
        <w:tc>
          <w:tcPr>
            <w:tcW w:w="620" w:type="dxa"/>
            <w:vAlign w:val="bottom"/>
            <w:shd w:val="clear" w:color="auto" w:fill="395796"/>
          </w:tcPr>
          <w:p>
            <w:pPr>
              <w:jc w:val="right"/>
              <w:ind w:right="2"/>
              <w:spacing w:after="0"/>
              <w:rPr>
                <w:sz w:val="20"/>
                <w:szCs w:val="20"/>
                <w:color w:val="auto"/>
              </w:rPr>
            </w:pPr>
            <w:r>
              <w:rPr>
                <w:rFonts w:ascii="Arial" w:cs="Arial" w:eastAsia="Arial" w:hAnsi="Arial"/>
                <w:sz w:val="14"/>
                <w:szCs w:val="14"/>
                <w:b w:val="1"/>
                <w:bCs w:val="1"/>
                <w:color w:val="FFFFFF"/>
              </w:rPr>
              <w:t>acquire</w:t>
            </w:r>
          </w:p>
        </w:tc>
        <w:tc>
          <w:tcPr>
            <w:tcW w:w="240" w:type="dxa"/>
            <w:vAlign w:val="bottom"/>
            <w:shd w:val="clear" w:color="auto" w:fill="395796"/>
          </w:tcPr>
          <w:p>
            <w:pPr>
              <w:ind w:left="20"/>
              <w:spacing w:after="0"/>
              <w:rPr>
                <w:sz w:val="20"/>
                <w:szCs w:val="20"/>
                <w:color w:val="auto"/>
              </w:rPr>
            </w:pPr>
            <w:r>
              <w:rPr>
                <w:rFonts w:ascii="Arial" w:cs="Arial" w:eastAsia="Arial" w:hAnsi="Arial"/>
                <w:sz w:val="14"/>
                <w:szCs w:val="14"/>
                <w:b w:val="1"/>
                <w:bCs w:val="1"/>
                <w:color w:val="FFFFFF"/>
              </w:rPr>
              <w:t>​ ​</w:t>
            </w:r>
          </w:p>
        </w:tc>
        <w:tc>
          <w:tcPr>
            <w:tcW w:w="700" w:type="dxa"/>
            <w:vAlign w:val="bottom"/>
            <w:shd w:val="clear" w:color="auto" w:fill="395796"/>
          </w:tcPr>
          <w:p>
            <w:pPr>
              <w:jc w:val="right"/>
              <w:ind w:right="2"/>
              <w:spacing w:after="0"/>
              <w:rPr>
                <w:sz w:val="20"/>
                <w:szCs w:val="20"/>
                <w:color w:val="auto"/>
              </w:rPr>
            </w:pPr>
            <w:r>
              <w:rPr>
                <w:rFonts w:ascii="Arial" w:cs="Arial" w:eastAsia="Arial" w:hAnsi="Arial"/>
                <w:sz w:val="14"/>
                <w:szCs w:val="14"/>
                <w:b w:val="1"/>
                <w:bCs w:val="1"/>
                <w:color w:val="FFFFFF"/>
              </w:rPr>
              <w:t>Total</w:t>
            </w:r>
          </w:p>
        </w:tc>
        <w:tc>
          <w:tcPr>
            <w:tcW w:w="700" w:type="dxa"/>
            <w:vAlign w:val="bottom"/>
            <w:gridSpan w:val="4"/>
            <w:shd w:val="clear" w:color="auto" w:fill="395796"/>
          </w:tcPr>
          <w:p>
            <w:pPr>
              <w:ind w:left="40"/>
              <w:spacing w:after="0"/>
              <w:rPr>
                <w:sz w:val="20"/>
                <w:szCs w:val="20"/>
                <w:color w:val="auto"/>
              </w:rPr>
            </w:pPr>
            <w:r>
              <w:rPr>
                <w:rFonts w:ascii="Arial" w:cs="Arial" w:eastAsia="Arial" w:hAnsi="Arial"/>
                <w:sz w:val="14"/>
                <w:szCs w:val="14"/>
                <w:b w:val="1"/>
                <w:bCs w:val="1"/>
                <w:color w:val="FFFFFF"/>
              </w:rPr>
              <w:t>​ ​Percent</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w:t>
            </w:r>
          </w:p>
        </w:tc>
        <w:tc>
          <w:tcPr>
            <w:tcW w:w="558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5"/>
                <w:szCs w:val="15"/>
                <w:b w:val="1"/>
                <w:bCs w:val="1"/>
                <w:color w:val="auto"/>
              </w:rPr>
              <w:t>​ ​</w:t>
            </w:r>
          </w:p>
        </w:tc>
        <w:tc>
          <w:tcPr>
            <w:tcW w:w="7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5"/>
                <w:szCs w:val="15"/>
                <w:b w:val="1"/>
                <w:bCs w:val="1"/>
                <w:color w:val="auto"/>
              </w:rPr>
              <w:t>​</w:t>
            </w:r>
          </w:p>
        </w:tc>
        <w:tc>
          <w:tcPr>
            <w:tcW w:w="200" w:type="dxa"/>
            <w:vAlign w:val="bottom"/>
          </w:tcPr>
          <w:p>
            <w:pPr>
              <w:ind w:left="40"/>
              <w:spacing w:after="0" w:line="135" w:lineRule="exact"/>
              <w:rPr>
                <w:sz w:val="20"/>
                <w:szCs w:val="20"/>
                <w:color w:val="auto"/>
              </w:rPr>
            </w:pPr>
            <w:r>
              <w:rPr>
                <w:rFonts w:ascii="Arial" w:cs="Arial" w:eastAsia="Arial" w:hAnsi="Arial"/>
                <w:sz w:val="15"/>
                <w:szCs w:val="15"/>
                <w:b w:val="1"/>
                <w:bCs w:val="1"/>
                <w:color w:val="auto"/>
              </w:rPr>
              <w:t>​ ​</w:t>
            </w:r>
          </w:p>
        </w:tc>
        <w:tc>
          <w:tcPr>
            <w:tcW w:w="62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w:t>
            </w:r>
          </w:p>
        </w:tc>
        <w:tc>
          <w:tcPr>
            <w:tcW w:w="240" w:type="dxa"/>
            <w:vAlign w:val="bottom"/>
          </w:tcPr>
          <w:p>
            <w:pPr>
              <w:ind w:left="20"/>
              <w:spacing w:after="0" w:line="135" w:lineRule="exact"/>
              <w:rPr>
                <w:sz w:val="20"/>
                <w:szCs w:val="20"/>
                <w:color w:val="auto"/>
              </w:rPr>
            </w:pPr>
            <w:r>
              <w:rPr>
                <w:rFonts w:ascii="Arial" w:cs="Arial" w:eastAsia="Arial" w:hAnsi="Arial"/>
                <w:sz w:val="15"/>
                <w:szCs w:val="15"/>
                <w:b w:val="1"/>
                <w:bCs w:val="1"/>
                <w:color w:val="auto"/>
              </w:rPr>
              <w:t>​ ​</w:t>
            </w:r>
          </w:p>
        </w:tc>
        <w:tc>
          <w:tcPr>
            <w:tcW w:w="700" w:type="dxa"/>
            <w:vAlign w:val="bottom"/>
          </w:tcPr>
          <w:p>
            <w:pPr>
              <w:jc w:val="right"/>
              <w:spacing w:after="0" w:line="135" w:lineRule="exact"/>
              <w:rPr>
                <w:sz w:val="20"/>
                <w:szCs w:val="20"/>
                <w:color w:val="auto"/>
              </w:rPr>
            </w:pPr>
            <w:r>
              <w:rPr>
                <w:rFonts w:ascii="Arial" w:cs="Arial" w:eastAsia="Arial" w:hAnsi="Arial"/>
                <w:sz w:val="15"/>
                <w:szCs w:val="15"/>
                <w:b w:val="1"/>
                <w:bCs w:val="1"/>
                <w:color w:val="auto"/>
              </w:rPr>
              <w:t>​</w:t>
            </w:r>
          </w:p>
        </w:tc>
        <w:tc>
          <w:tcPr>
            <w:tcW w:w="200" w:type="dxa"/>
            <w:vAlign w:val="bottom"/>
          </w:tcPr>
          <w:p>
            <w:pPr>
              <w:ind w:left="40"/>
              <w:spacing w:after="0" w:line="135" w:lineRule="exact"/>
              <w:rPr>
                <w:sz w:val="20"/>
                <w:szCs w:val="20"/>
                <w:color w:val="auto"/>
              </w:rPr>
            </w:pPr>
            <w:r>
              <w:rPr>
                <w:rFonts w:ascii="Arial" w:cs="Arial" w:eastAsia="Arial" w:hAnsi="Arial"/>
                <w:sz w:val="15"/>
                <w:szCs w:val="15"/>
                <w:b w:val="1"/>
                <w:bCs w:val="1"/>
                <w:color w:val="auto"/>
              </w:rPr>
              <w:t>​ ​</w:t>
            </w:r>
          </w:p>
        </w:tc>
        <w:tc>
          <w:tcPr>
            <w:tcW w:w="440" w:type="dxa"/>
            <w:vAlign w:val="bottom"/>
          </w:tcPr>
          <w:p>
            <w:pPr>
              <w:spacing w:after="0"/>
              <w:rPr>
                <w:sz w:val="11"/>
                <w:szCs w:val="11"/>
                <w:color w:val="auto"/>
              </w:rPr>
            </w:pPr>
          </w:p>
        </w:tc>
        <w:tc>
          <w:tcPr>
            <w:tcW w:w="120" w:type="dxa"/>
            <w:vAlign w:val="bottom"/>
            <w:gridSpan w:val="3"/>
          </w:tcPr>
          <w:p>
            <w:pPr>
              <w:jc w:val="right"/>
              <w:spacing w:after="0" w:line="135"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5680" w:type="dxa"/>
            <w:vAlign w:val="bottom"/>
            <w:gridSpan w:val="2"/>
          </w:tcPr>
          <w:p>
            <w:pPr>
              <w:spacing w:after="0" w:line="51" w:lineRule="exact"/>
              <w:rPr>
                <w:sz w:val="20"/>
                <w:szCs w:val="20"/>
                <w:color w:val="auto"/>
              </w:rPr>
            </w:pPr>
            <w:r>
              <w:rPr>
                <w:rFonts w:ascii="Arial" w:cs="Arial" w:eastAsia="Arial" w:hAnsi="Arial"/>
                <w:sz w:val="5"/>
                <w:szCs w:val="5"/>
                <w:b w:val="1"/>
                <w:bCs w:val="1"/>
                <w:color w:val="auto"/>
              </w:rPr>
              <w:t>5% Stockholders</w:t>
            </w: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6"/>
                <w:szCs w:val="16"/>
                <w:color w:val="auto"/>
              </w:rPr>
              <w:t>​  Black Diamond Capital Management, L.L.C.</w:t>
            </w:r>
            <w:r>
              <w:rPr>
                <w:rFonts w:ascii="Arial" w:cs="Arial" w:eastAsia="Arial" w:hAnsi="Arial"/>
                <w:sz w:val="19"/>
                <w:szCs w:val="19"/>
                <w:color w:val="auto"/>
                <w:vertAlign w:val="superscript"/>
              </w:rPr>
              <w:t>(1)</w:t>
            </w:r>
          </w:p>
        </w:tc>
        <w:tc>
          <w:tcPr>
            <w:tcW w:w="1020" w:type="dxa"/>
            <w:vAlign w:val="bottom"/>
            <w:gridSpan w:val="2"/>
          </w:tcPr>
          <w:p>
            <w:pPr>
              <w:ind w:left="100"/>
              <w:spacing w:after="0"/>
              <w:rPr>
                <w:sz w:val="20"/>
                <w:szCs w:val="20"/>
                <w:color w:val="auto"/>
              </w:rPr>
            </w:pPr>
            <w:r>
              <w:rPr>
                <w:rFonts w:ascii="Arial" w:cs="Arial" w:eastAsia="Arial" w:hAnsi="Arial"/>
                <w:sz w:val="16"/>
                <w:szCs w:val="16"/>
                <w:color w:val="auto"/>
              </w:rPr>
              <w:t>​ ​ 3,508,824</w:t>
            </w:r>
          </w:p>
        </w:tc>
        <w:tc>
          <w:tcPr>
            <w:tcW w:w="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 ​3,508,824</w:t>
            </w:r>
          </w:p>
        </w:tc>
        <w:tc>
          <w:tcPr>
            <w:tcW w:w="760" w:type="dxa"/>
            <w:vAlign w:val="bottom"/>
            <w:gridSpan w:val="5"/>
          </w:tcPr>
          <w:p>
            <w:pPr>
              <w:jc w:val="right"/>
              <w:spacing w:after="0"/>
              <w:rPr>
                <w:sz w:val="20"/>
                <w:szCs w:val="20"/>
                <w:color w:val="auto"/>
              </w:rPr>
            </w:pPr>
            <w:r>
              <w:rPr>
                <w:rFonts w:ascii="Arial" w:cs="Arial" w:eastAsia="Arial" w:hAnsi="Arial"/>
                <w:sz w:val="16"/>
                <w:szCs w:val="16"/>
                <w:color w:val="auto"/>
              </w:rPr>
              <w:t>​ ​18.0% ​</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Pr>
          <w:p>
            <w:pPr>
              <w:ind w:left="220"/>
              <w:spacing w:after="0"/>
              <w:rPr>
                <w:sz w:val="20"/>
                <w:szCs w:val="20"/>
                <w:color w:val="auto"/>
              </w:rPr>
            </w:pPr>
            <w:r>
              <w:rPr>
                <w:rFonts w:ascii="Arial" w:cs="Arial" w:eastAsia="Arial" w:hAnsi="Arial"/>
                <w:sz w:val="16"/>
                <w:szCs w:val="16"/>
                <w:color w:val="auto"/>
              </w:rPr>
              <w:t>2187 Atlantic Street, 9 Floor</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Stamford, CT 06902</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580" w:type="dxa"/>
            <w:vAlign w:val="bottom"/>
          </w:tcPr>
          <w:p>
            <w:pPr>
              <w:ind w:left="60"/>
              <w:spacing w:after="0" w:line="197" w:lineRule="exact"/>
              <w:rPr>
                <w:sz w:val="20"/>
                <w:szCs w:val="20"/>
                <w:color w:val="auto"/>
              </w:rPr>
            </w:pPr>
            <w:r>
              <w:rPr>
                <w:rFonts w:ascii="Arial" w:cs="Arial" w:eastAsia="Arial" w:hAnsi="Arial"/>
                <w:sz w:val="16"/>
                <w:szCs w:val="16"/>
                <w:color w:val="auto"/>
              </w:rPr>
              <w:t>Bradley L. Radoff</w:t>
            </w:r>
            <w:r>
              <w:rPr>
                <w:rFonts w:ascii="Arial" w:cs="Arial" w:eastAsia="Arial" w:hAnsi="Arial"/>
                <w:sz w:val="19"/>
                <w:szCs w:val="19"/>
                <w:color w:val="auto"/>
                <w:vertAlign w:val="superscript"/>
              </w:rPr>
              <w:t>(2)</w:t>
            </w:r>
          </w:p>
        </w:tc>
        <w:tc>
          <w:tcPr>
            <w:tcW w:w="1020" w:type="dxa"/>
            <w:vAlign w:val="bottom"/>
            <w:gridSpan w:val="2"/>
          </w:tcPr>
          <w:p>
            <w:pPr>
              <w:ind w:left="100"/>
              <w:spacing w:after="0"/>
              <w:rPr>
                <w:sz w:val="20"/>
                <w:szCs w:val="20"/>
                <w:color w:val="auto"/>
              </w:rPr>
            </w:pPr>
            <w:r>
              <w:rPr>
                <w:rFonts w:ascii="Arial" w:cs="Arial" w:eastAsia="Arial" w:hAnsi="Arial"/>
                <w:sz w:val="16"/>
                <w:szCs w:val="16"/>
                <w:color w:val="auto"/>
              </w:rPr>
              <w:t>​ ​ 2,505,000</w:t>
            </w:r>
          </w:p>
        </w:tc>
        <w:tc>
          <w:tcPr>
            <w:tcW w:w="8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 ​2,505,000</w:t>
            </w: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 ​12.8%</w:t>
            </w: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Pr>
          <w:p>
            <w:pPr>
              <w:ind w:left="220"/>
              <w:spacing w:after="0"/>
              <w:rPr>
                <w:sz w:val="20"/>
                <w:szCs w:val="20"/>
                <w:color w:val="auto"/>
              </w:rPr>
            </w:pPr>
            <w:r>
              <w:rPr>
                <w:rFonts w:ascii="Arial" w:cs="Arial" w:eastAsia="Arial" w:hAnsi="Arial"/>
                <w:sz w:val="16"/>
                <w:szCs w:val="16"/>
                <w:color w:val="auto"/>
              </w:rPr>
              <w:t>2727 Kirby Drive, Unit 29L</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Houston, TX 77098</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580" w:type="dxa"/>
            <w:vAlign w:val="bottom"/>
          </w:tcPr>
          <w:p>
            <w:pPr>
              <w:ind w:left="60"/>
              <w:spacing w:after="0" w:line="197" w:lineRule="exact"/>
              <w:rPr>
                <w:sz w:val="20"/>
                <w:szCs w:val="20"/>
                <w:color w:val="auto"/>
              </w:rPr>
            </w:pPr>
            <w:r>
              <w:rPr>
                <w:rFonts w:ascii="Arial" w:cs="Arial" w:eastAsia="Arial" w:hAnsi="Arial"/>
                <w:sz w:val="16"/>
                <w:szCs w:val="16"/>
                <w:color w:val="auto"/>
              </w:rPr>
              <w:t>Michael Torok</w:t>
            </w:r>
            <w:r>
              <w:rPr>
                <w:rFonts w:ascii="Arial" w:cs="Arial" w:eastAsia="Arial" w:hAnsi="Arial"/>
                <w:sz w:val="19"/>
                <w:szCs w:val="19"/>
                <w:color w:val="auto"/>
                <w:vertAlign w:val="superscript"/>
              </w:rPr>
              <w:t>(3)</w:t>
            </w:r>
          </w:p>
        </w:tc>
        <w:tc>
          <w:tcPr>
            <w:tcW w:w="1020" w:type="dxa"/>
            <w:vAlign w:val="bottom"/>
            <w:gridSpan w:val="2"/>
          </w:tcPr>
          <w:p>
            <w:pPr>
              <w:ind w:left="100"/>
              <w:spacing w:after="0"/>
              <w:rPr>
                <w:sz w:val="20"/>
                <w:szCs w:val="20"/>
                <w:color w:val="auto"/>
              </w:rPr>
            </w:pPr>
            <w:r>
              <w:rPr>
                <w:rFonts w:ascii="Arial" w:cs="Arial" w:eastAsia="Arial" w:hAnsi="Arial"/>
                <w:sz w:val="16"/>
                <w:szCs w:val="16"/>
                <w:color w:val="auto"/>
              </w:rPr>
              <w:t>​ ​ 1,400,000</w:t>
            </w:r>
          </w:p>
        </w:tc>
        <w:tc>
          <w:tcPr>
            <w:tcW w:w="8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 ​1,400,000</w:t>
            </w: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7.2%</w:t>
            </w:r>
          </w:p>
        </w:tc>
        <w:tc>
          <w:tcPr>
            <w:tcW w:w="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Pr>
          <w:p>
            <w:pPr>
              <w:ind w:left="220"/>
              <w:spacing w:after="0"/>
              <w:rPr>
                <w:sz w:val="20"/>
                <w:szCs w:val="20"/>
                <w:color w:val="auto"/>
              </w:rPr>
            </w:pPr>
            <w:r>
              <w:rPr>
                <w:rFonts w:ascii="Arial" w:cs="Arial" w:eastAsia="Arial" w:hAnsi="Arial"/>
                <w:sz w:val="16"/>
                <w:szCs w:val="16"/>
                <w:color w:val="auto"/>
              </w:rPr>
              <w:t>68 Mazzeo Drive</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Randolph, MA 02368</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5680" w:type="dxa"/>
            <w:vAlign w:val="bottom"/>
            <w:gridSpan w:val="2"/>
          </w:tcPr>
          <w:p>
            <w:pPr>
              <w:spacing w:after="0" w:line="197" w:lineRule="exact"/>
              <w:rPr>
                <w:sz w:val="20"/>
                <w:szCs w:val="20"/>
                <w:color w:val="auto"/>
              </w:rPr>
            </w:pPr>
            <w:r>
              <w:rPr>
                <w:rFonts w:ascii="Arial" w:cs="Arial" w:eastAsia="Arial" w:hAnsi="Arial"/>
                <w:sz w:val="16"/>
                <w:szCs w:val="16"/>
                <w:color w:val="auto"/>
              </w:rPr>
              <w:t>​  Systematic Financial Management, L.P.</w:t>
            </w:r>
            <w:r>
              <w:rPr>
                <w:rFonts w:ascii="Arial" w:cs="Arial" w:eastAsia="Arial" w:hAnsi="Arial"/>
                <w:sz w:val="19"/>
                <w:szCs w:val="19"/>
                <w:color w:val="auto"/>
                <w:vertAlign w:val="superscript"/>
              </w:rPr>
              <w:t>(4)</w:t>
            </w:r>
          </w:p>
        </w:tc>
        <w:tc>
          <w:tcPr>
            <w:tcW w:w="1020" w:type="dxa"/>
            <w:vAlign w:val="bottom"/>
            <w:gridSpan w:val="2"/>
          </w:tcPr>
          <w:p>
            <w:pPr>
              <w:ind w:left="100"/>
              <w:spacing w:after="0"/>
              <w:rPr>
                <w:sz w:val="20"/>
                <w:szCs w:val="20"/>
                <w:color w:val="auto"/>
              </w:rPr>
            </w:pPr>
            <w:r>
              <w:rPr>
                <w:rFonts w:ascii="Arial" w:cs="Arial" w:eastAsia="Arial" w:hAnsi="Arial"/>
                <w:sz w:val="16"/>
                <w:szCs w:val="16"/>
                <w:color w:val="auto"/>
              </w:rPr>
              <w:t>​ ​ 1,078,844</w:t>
            </w:r>
          </w:p>
        </w:tc>
        <w:tc>
          <w:tcPr>
            <w:tcW w:w="8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 ​1,078,844</w:t>
            </w: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Pr>
          <w:p>
            <w:pPr>
              <w:ind w:left="220"/>
              <w:spacing w:after="0"/>
              <w:rPr>
                <w:sz w:val="20"/>
                <w:szCs w:val="20"/>
                <w:color w:val="auto"/>
              </w:rPr>
            </w:pPr>
            <w:r>
              <w:rPr>
                <w:rFonts w:ascii="Arial" w:cs="Arial" w:eastAsia="Arial" w:hAnsi="Arial"/>
                <w:sz w:val="16"/>
                <w:szCs w:val="16"/>
                <w:color w:val="auto"/>
              </w:rPr>
              <w:t>300 Frank W. Burr Blvd.</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80" w:type="dxa"/>
            <w:vAlign w:val="bottom"/>
          </w:tcPr>
          <w:p>
            <w:pPr>
              <w:ind w:left="220"/>
              <w:spacing w:after="0"/>
              <w:rPr>
                <w:sz w:val="20"/>
                <w:szCs w:val="20"/>
                <w:color w:val="auto"/>
              </w:rPr>
            </w:pPr>
            <w:r>
              <w:rPr>
                <w:rFonts w:ascii="Arial" w:cs="Arial" w:eastAsia="Arial" w:hAnsi="Arial"/>
                <w:sz w:val="16"/>
                <w:szCs w:val="16"/>
                <w:color w:val="auto"/>
              </w:rPr>
              <w:t>Glenpointe East, 7 Floor</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Teaneck, NJ 07666</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100" w:type="dxa"/>
            <w:vAlign w:val="bottom"/>
          </w:tcPr>
          <w:p>
            <w:pPr>
              <w:jc w:val="right"/>
              <w:spacing w:after="0" w:line="130" w:lineRule="exact"/>
              <w:rPr>
                <w:sz w:val="20"/>
                <w:szCs w:val="20"/>
                <w:color w:val="auto"/>
              </w:rPr>
            </w:pPr>
            <w:r>
              <w:rPr>
                <w:rFonts w:ascii="Arial" w:cs="Arial" w:eastAsia="Arial" w:hAnsi="Arial"/>
                <w:sz w:val="15"/>
                <w:szCs w:val="15"/>
                <w:b w:val="1"/>
                <w:bCs w:val="1"/>
                <w:color w:val="auto"/>
              </w:rPr>
              <w:t>​</w:t>
            </w:r>
          </w:p>
        </w:tc>
        <w:tc>
          <w:tcPr>
            <w:tcW w:w="5580" w:type="dxa"/>
            <w:vAlign w:val="bottom"/>
          </w:tcPr>
          <w:p>
            <w:pPr>
              <w:spacing w:after="0"/>
              <w:rPr>
                <w:sz w:val="11"/>
                <w:szCs w:val="11"/>
                <w:color w:val="auto"/>
              </w:rPr>
            </w:pPr>
          </w:p>
        </w:tc>
        <w:tc>
          <w:tcPr>
            <w:tcW w:w="280" w:type="dxa"/>
            <w:vAlign w:val="bottom"/>
          </w:tcPr>
          <w:p>
            <w:pPr>
              <w:ind w:left="100"/>
              <w:spacing w:after="0" w:line="130" w:lineRule="exact"/>
              <w:rPr>
                <w:sz w:val="20"/>
                <w:szCs w:val="20"/>
                <w:color w:val="auto"/>
              </w:rPr>
            </w:pPr>
            <w:r>
              <w:rPr>
                <w:rFonts w:ascii="Arial" w:cs="Arial" w:eastAsia="Arial" w:hAnsi="Arial"/>
                <w:sz w:val="15"/>
                <w:szCs w:val="15"/>
                <w:b w:val="1"/>
                <w:bCs w:val="1"/>
                <w:color w:val="auto"/>
              </w:rPr>
              <w:t>​ ​</w:t>
            </w:r>
          </w:p>
        </w:tc>
        <w:tc>
          <w:tcPr>
            <w:tcW w:w="740" w:type="dxa"/>
            <w:vAlign w:val="bottom"/>
          </w:tcPr>
          <w:p>
            <w:pPr>
              <w:spacing w:after="0"/>
              <w:rPr>
                <w:sz w:val="11"/>
                <w:szCs w:val="11"/>
                <w:color w:val="auto"/>
              </w:rPr>
            </w:pPr>
          </w:p>
        </w:tc>
        <w:tc>
          <w:tcPr>
            <w:tcW w:w="80" w:type="dxa"/>
            <w:vAlign w:val="bottom"/>
          </w:tcPr>
          <w:p>
            <w:pPr>
              <w:spacing w:after="0" w:line="130" w:lineRule="exact"/>
              <w:rPr>
                <w:sz w:val="20"/>
                <w:szCs w:val="20"/>
                <w:color w:val="auto"/>
              </w:rPr>
            </w:pPr>
            <w:r>
              <w:rPr>
                <w:rFonts w:ascii="Arial" w:cs="Arial" w:eastAsia="Arial" w:hAnsi="Arial"/>
                <w:sz w:val="15"/>
                <w:szCs w:val="15"/>
                <w:b w:val="1"/>
                <w:bCs w:val="1"/>
                <w:color w:val="auto"/>
              </w:rPr>
              <w:t>​</w:t>
            </w:r>
          </w:p>
        </w:tc>
        <w:tc>
          <w:tcPr>
            <w:tcW w:w="200" w:type="dxa"/>
            <w:vAlign w:val="bottom"/>
          </w:tcPr>
          <w:p>
            <w:pPr>
              <w:ind w:left="40"/>
              <w:spacing w:after="0" w:line="130" w:lineRule="exact"/>
              <w:rPr>
                <w:sz w:val="20"/>
                <w:szCs w:val="20"/>
                <w:color w:val="auto"/>
              </w:rPr>
            </w:pPr>
            <w:r>
              <w:rPr>
                <w:rFonts w:ascii="Arial" w:cs="Arial" w:eastAsia="Arial" w:hAnsi="Arial"/>
                <w:sz w:val="15"/>
                <w:szCs w:val="15"/>
                <w:b w:val="1"/>
                <w:bCs w:val="1"/>
                <w:color w:val="auto"/>
              </w:rPr>
              <w:t>​ ​</w:t>
            </w:r>
          </w:p>
        </w:tc>
        <w:tc>
          <w:tcPr>
            <w:tcW w:w="620" w:type="dxa"/>
            <w:vAlign w:val="bottom"/>
          </w:tcPr>
          <w:p>
            <w:pPr>
              <w:jc w:val="right"/>
              <w:spacing w:after="0" w:line="130" w:lineRule="exact"/>
              <w:rPr>
                <w:sz w:val="20"/>
                <w:szCs w:val="20"/>
                <w:color w:val="auto"/>
              </w:rPr>
            </w:pPr>
            <w:r>
              <w:rPr>
                <w:rFonts w:ascii="Arial" w:cs="Arial" w:eastAsia="Arial" w:hAnsi="Arial"/>
                <w:sz w:val="15"/>
                <w:szCs w:val="15"/>
                <w:b w:val="1"/>
                <w:bCs w:val="1"/>
                <w:color w:val="auto"/>
              </w:rPr>
              <w:t>​</w:t>
            </w:r>
          </w:p>
        </w:tc>
        <w:tc>
          <w:tcPr>
            <w:tcW w:w="240" w:type="dxa"/>
            <w:vAlign w:val="bottom"/>
          </w:tcPr>
          <w:p>
            <w:pPr>
              <w:ind w:left="20"/>
              <w:spacing w:after="0" w:line="130" w:lineRule="exact"/>
              <w:rPr>
                <w:sz w:val="20"/>
                <w:szCs w:val="20"/>
                <w:color w:val="auto"/>
              </w:rPr>
            </w:pPr>
            <w:r>
              <w:rPr>
                <w:rFonts w:ascii="Arial" w:cs="Arial" w:eastAsia="Arial" w:hAnsi="Arial"/>
                <w:sz w:val="15"/>
                <w:szCs w:val="15"/>
                <w:b w:val="1"/>
                <w:bCs w:val="1"/>
                <w:color w:val="auto"/>
              </w:rPr>
              <w:t>​ ​</w:t>
            </w:r>
          </w:p>
        </w:tc>
        <w:tc>
          <w:tcPr>
            <w:tcW w:w="700" w:type="dxa"/>
            <w:vAlign w:val="bottom"/>
          </w:tcPr>
          <w:p>
            <w:pPr>
              <w:jc w:val="right"/>
              <w:spacing w:after="0" w:line="130" w:lineRule="exact"/>
              <w:rPr>
                <w:sz w:val="20"/>
                <w:szCs w:val="20"/>
                <w:color w:val="auto"/>
              </w:rPr>
            </w:pPr>
            <w:r>
              <w:rPr>
                <w:rFonts w:ascii="Arial" w:cs="Arial" w:eastAsia="Arial" w:hAnsi="Arial"/>
                <w:sz w:val="15"/>
                <w:szCs w:val="15"/>
                <w:b w:val="1"/>
                <w:bCs w:val="1"/>
                <w:color w:val="auto"/>
              </w:rPr>
              <w:t>​</w:t>
            </w:r>
          </w:p>
        </w:tc>
        <w:tc>
          <w:tcPr>
            <w:tcW w:w="200" w:type="dxa"/>
            <w:vAlign w:val="bottom"/>
          </w:tcPr>
          <w:p>
            <w:pPr>
              <w:ind w:left="40"/>
              <w:spacing w:after="0" w:line="130" w:lineRule="exact"/>
              <w:rPr>
                <w:sz w:val="20"/>
                <w:szCs w:val="20"/>
                <w:color w:val="auto"/>
              </w:rPr>
            </w:pPr>
            <w:r>
              <w:rPr>
                <w:rFonts w:ascii="Arial" w:cs="Arial" w:eastAsia="Arial" w:hAnsi="Arial"/>
                <w:sz w:val="15"/>
                <w:szCs w:val="15"/>
                <w:b w:val="1"/>
                <w:bCs w:val="1"/>
                <w:color w:val="auto"/>
              </w:rPr>
              <w:t>​ ​</w:t>
            </w:r>
          </w:p>
        </w:tc>
        <w:tc>
          <w:tcPr>
            <w:tcW w:w="440" w:type="dxa"/>
            <w:vAlign w:val="bottom"/>
          </w:tcPr>
          <w:p>
            <w:pPr>
              <w:spacing w:after="0"/>
              <w:rPr>
                <w:sz w:val="11"/>
                <w:szCs w:val="11"/>
                <w:color w:val="auto"/>
              </w:rPr>
            </w:pPr>
          </w:p>
        </w:tc>
        <w:tc>
          <w:tcPr>
            <w:tcW w:w="120" w:type="dxa"/>
            <w:vAlign w:val="bottom"/>
            <w:gridSpan w:val="3"/>
          </w:tcPr>
          <w:p>
            <w:pPr>
              <w:jc w:val="right"/>
              <w:spacing w:after="0" w:line="130"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5680" w:type="dxa"/>
            <w:vAlign w:val="bottom"/>
            <w:gridSpan w:val="2"/>
          </w:tcPr>
          <w:p>
            <w:pPr>
              <w:spacing w:after="0" w:line="40" w:lineRule="exact"/>
              <w:rPr>
                <w:sz w:val="20"/>
                <w:szCs w:val="20"/>
                <w:color w:val="auto"/>
              </w:rPr>
            </w:pPr>
            <w:r>
              <w:rPr>
                <w:rFonts w:ascii="Arial" w:cs="Arial" w:eastAsia="Arial" w:hAnsi="Arial"/>
                <w:sz w:val="4"/>
                <w:szCs w:val="4"/>
                <w:b w:val="1"/>
                <w:bCs w:val="1"/>
                <w:color w:val="auto"/>
              </w:rPr>
              <w:t>Directors and Director Nominees</w:t>
            </w: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580" w:type="dxa"/>
            <w:vAlign w:val="bottom"/>
          </w:tcPr>
          <w:p>
            <w:pPr>
              <w:ind w:left="60"/>
              <w:spacing w:after="0"/>
              <w:rPr>
                <w:sz w:val="20"/>
                <w:szCs w:val="20"/>
                <w:color w:val="auto"/>
              </w:rPr>
            </w:pPr>
            <w:r>
              <w:rPr>
                <w:rFonts w:ascii="Arial" w:cs="Arial" w:eastAsia="Arial" w:hAnsi="Arial"/>
                <w:sz w:val="16"/>
                <w:szCs w:val="16"/>
                <w:color w:val="auto"/>
              </w:rPr>
              <w:t>Stephen H. Deckoff</w:t>
            </w:r>
            <w:r>
              <w:rPr>
                <w:rFonts w:ascii="Arial" w:cs="Arial" w:eastAsia="Arial" w:hAnsi="Arial"/>
                <w:sz w:val="19"/>
                <w:szCs w:val="19"/>
                <w:color w:val="auto"/>
                <w:vertAlign w:val="superscript"/>
              </w:rPr>
              <w:t>(1)</w:t>
            </w:r>
          </w:p>
        </w:tc>
        <w:tc>
          <w:tcPr>
            <w:tcW w:w="1020" w:type="dxa"/>
            <w:vAlign w:val="bottom"/>
            <w:gridSpan w:val="2"/>
          </w:tcPr>
          <w:p>
            <w:pPr>
              <w:ind w:left="100"/>
              <w:spacing w:after="0"/>
              <w:rPr>
                <w:sz w:val="20"/>
                <w:szCs w:val="20"/>
                <w:color w:val="auto"/>
              </w:rPr>
            </w:pPr>
            <w:r>
              <w:rPr>
                <w:rFonts w:ascii="Arial" w:cs="Arial" w:eastAsia="Arial" w:hAnsi="Arial"/>
                <w:sz w:val="16"/>
                <w:szCs w:val="16"/>
                <w:color w:val="auto"/>
              </w:rPr>
              <w:t>​ ​ 3,508,824</w:t>
            </w:r>
          </w:p>
        </w:tc>
        <w:tc>
          <w:tcPr>
            <w:tcW w:w="8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 ​3,508,824</w:t>
            </w:r>
          </w:p>
        </w:tc>
        <w:tc>
          <w:tcPr>
            <w:tcW w:w="760" w:type="dxa"/>
            <w:vAlign w:val="bottom"/>
            <w:gridSpan w:val="5"/>
          </w:tcPr>
          <w:p>
            <w:pPr>
              <w:jc w:val="right"/>
              <w:spacing w:after="0"/>
              <w:rPr>
                <w:sz w:val="20"/>
                <w:szCs w:val="20"/>
                <w:color w:val="auto"/>
              </w:rPr>
            </w:pPr>
            <w:r>
              <w:rPr>
                <w:rFonts w:ascii="Arial" w:cs="Arial" w:eastAsia="Arial" w:hAnsi="Arial"/>
                <w:sz w:val="16"/>
                <w:szCs w:val="16"/>
                <w:color w:val="auto"/>
              </w:rPr>
              <w:t>​ ​18.0% ​</w:t>
            </w:r>
          </w:p>
        </w:tc>
        <w:tc>
          <w:tcPr>
            <w:tcW w:w="0" w:type="dxa"/>
            <w:vAlign w:val="bottom"/>
          </w:tcPr>
          <w:p>
            <w:pPr>
              <w:spacing w:after="0"/>
              <w:rPr>
                <w:sz w:val="1"/>
                <w:szCs w:val="1"/>
                <w:color w:val="auto"/>
              </w:rPr>
            </w:pPr>
          </w:p>
        </w:tc>
      </w:tr>
      <w:tr>
        <w:trPr>
          <w:trHeight w:val="196"/>
        </w:trPr>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5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Brent C. Bruun</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 ​</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169,624</w:t>
            </w: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color w:val="auto"/>
              </w:rPr>
              <w:t>​ ​204,674</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674,298</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 ​</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1.9%</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5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David M. Tolley</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62,375</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62,375</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5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David B. Kagan</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60,392</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60,392</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5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Joseph Spytek</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18,000</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18,000</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5580" w:type="dxa"/>
            <w:vAlign w:val="bottom"/>
          </w:tcPr>
          <w:p>
            <w:pPr>
              <w:spacing w:after="0"/>
              <w:rPr>
                <w:sz w:val="11"/>
                <w:szCs w:val="11"/>
                <w:color w:val="auto"/>
              </w:rPr>
            </w:pPr>
          </w:p>
        </w:tc>
        <w:tc>
          <w:tcPr>
            <w:tcW w:w="28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 ​</w:t>
            </w:r>
          </w:p>
        </w:tc>
        <w:tc>
          <w:tcPr>
            <w:tcW w:w="740" w:type="dxa"/>
            <w:vAlign w:val="bottom"/>
          </w:tcPr>
          <w:p>
            <w:pPr>
              <w:spacing w:after="0"/>
              <w:rPr>
                <w:sz w:val="11"/>
                <w:szCs w:val="11"/>
                <w:color w:val="auto"/>
              </w:rPr>
            </w:pPr>
          </w:p>
        </w:tc>
        <w:tc>
          <w:tcPr>
            <w:tcW w:w="80" w:type="dxa"/>
            <w:vAlign w:val="bottom"/>
          </w:tcPr>
          <w:p>
            <w:pPr>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 ​</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 ​</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 ​</w:t>
            </w:r>
          </w:p>
        </w:tc>
        <w:tc>
          <w:tcPr>
            <w:tcW w:w="440" w:type="dxa"/>
            <w:vAlign w:val="bottom"/>
          </w:tcPr>
          <w:p>
            <w:pPr>
              <w:spacing w:after="0"/>
              <w:rPr>
                <w:sz w:val="11"/>
                <w:szCs w:val="11"/>
                <w:color w:val="auto"/>
              </w:rPr>
            </w:pPr>
          </w:p>
        </w:tc>
        <w:tc>
          <w:tcPr>
            <w:tcW w:w="1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5680" w:type="dxa"/>
            <w:vAlign w:val="bottom"/>
            <w:gridSpan w:val="2"/>
          </w:tcPr>
          <w:p>
            <w:pPr>
              <w:spacing w:after="0" w:line="40" w:lineRule="exact"/>
              <w:rPr>
                <w:sz w:val="20"/>
                <w:szCs w:val="20"/>
                <w:color w:val="auto"/>
              </w:rPr>
            </w:pPr>
            <w:r>
              <w:rPr>
                <w:rFonts w:ascii="Arial" w:cs="Arial" w:eastAsia="Arial" w:hAnsi="Arial"/>
                <w:sz w:val="4"/>
                <w:szCs w:val="4"/>
                <w:b w:val="1"/>
                <w:bCs w:val="1"/>
                <w:color w:val="auto"/>
              </w:rPr>
              <w:t>Other Named Executive Officers</w:t>
            </w:r>
          </w:p>
        </w:tc>
        <w:tc>
          <w:tcPr>
            <w:tcW w:w="2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5580" w:type="dxa"/>
            <w:vAlign w:val="bottom"/>
          </w:tcPr>
          <w:p>
            <w:pPr>
              <w:ind w:left="60"/>
              <w:spacing w:after="0"/>
              <w:rPr>
                <w:sz w:val="20"/>
                <w:szCs w:val="20"/>
                <w:color w:val="auto"/>
              </w:rPr>
            </w:pPr>
            <w:r>
              <w:rPr>
                <w:rFonts w:ascii="Arial" w:cs="Arial" w:eastAsia="Arial" w:hAnsi="Arial"/>
                <w:sz w:val="16"/>
                <w:szCs w:val="16"/>
                <w:color w:val="auto"/>
              </w:rPr>
              <w:t>Felise B. Feingold</w:t>
            </w:r>
          </w:p>
        </w:tc>
        <w:tc>
          <w:tcPr>
            <w:tcW w:w="280" w:type="dxa"/>
            <w:vAlign w:val="bottom"/>
          </w:tcPr>
          <w:p>
            <w:pPr>
              <w:ind w:left="100"/>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69,654</w:t>
            </w:r>
          </w:p>
        </w:tc>
        <w:tc>
          <w:tcPr>
            <w:tcW w:w="8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color w:val="auto"/>
              </w:rPr>
              <w:t>​ ​110,169</w:t>
            </w:r>
          </w:p>
        </w:tc>
        <w:tc>
          <w:tcPr>
            <w:tcW w:w="240" w:type="dxa"/>
            <w:vAlign w:val="bottom"/>
          </w:tcPr>
          <w:p>
            <w:pPr>
              <w:ind w:left="20"/>
              <w:spacing w:after="0"/>
              <w:rPr>
                <w:sz w:val="20"/>
                <w:szCs w:val="20"/>
                <w:color w:val="auto"/>
              </w:rPr>
            </w:pPr>
            <w:r>
              <w:rPr>
                <w:rFonts w:ascii="Arial" w:cs="Arial" w:eastAsia="Arial" w:hAnsi="Arial"/>
                <w:sz w:val="16"/>
                <w:szCs w:val="16"/>
                <w:color w:val="auto"/>
              </w:rPr>
              <w:t>​ ​</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179,823</w:t>
            </w:r>
          </w:p>
        </w:tc>
        <w:tc>
          <w:tcPr>
            <w:tcW w:w="200" w:type="dxa"/>
            <w:vAlign w:val="bottom"/>
          </w:tcPr>
          <w:p>
            <w:pPr>
              <w:ind w:left="40"/>
              <w:spacing w:after="0"/>
              <w:rPr>
                <w:sz w:val="20"/>
                <w:szCs w:val="20"/>
                <w:color w:val="auto"/>
              </w:rPr>
            </w:pPr>
            <w:r>
              <w:rPr>
                <w:rFonts w:ascii="Arial" w:cs="Arial" w:eastAsia="Arial" w:hAnsi="Arial"/>
                <w:sz w:val="16"/>
                <w:szCs w:val="16"/>
                <w:color w:val="auto"/>
              </w:rPr>
              <w:t>​ ​</w:t>
            </w: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6"/>
        </w:trPr>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5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Anthony Pike</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rPr>
              <w:t>​ ​</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18,200</w:t>
            </w:r>
          </w:p>
        </w:tc>
        <w:tc>
          <w:tcPr>
            <w:tcW w:w="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6"/>
                <w:szCs w:val="16"/>
                <w:color w:val="auto"/>
              </w:rPr>
              <w:t>​ ​ 33,719</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 ​</w:t>
            </w:r>
          </w:p>
        </w:tc>
        <w:tc>
          <w:tcPr>
            <w:tcW w:w="7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51,919</w:t>
            </w: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 ​</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5580" w:type="dxa"/>
            <w:vAlign w:val="bottom"/>
          </w:tcPr>
          <w:p>
            <w:pPr>
              <w:spacing w:after="0"/>
              <w:rPr>
                <w:sz w:val="11"/>
                <w:szCs w:val="11"/>
                <w:color w:val="auto"/>
              </w:rPr>
            </w:pPr>
          </w:p>
        </w:tc>
        <w:tc>
          <w:tcPr>
            <w:tcW w:w="280" w:type="dxa"/>
            <w:vAlign w:val="bottom"/>
          </w:tcPr>
          <w:p>
            <w:pPr>
              <w:ind w:left="100"/>
              <w:spacing w:after="0" w:line="129" w:lineRule="exact"/>
              <w:rPr>
                <w:sz w:val="20"/>
                <w:szCs w:val="20"/>
                <w:color w:val="auto"/>
              </w:rPr>
            </w:pPr>
            <w:r>
              <w:rPr>
                <w:rFonts w:ascii="Arial" w:cs="Arial" w:eastAsia="Arial" w:hAnsi="Arial"/>
                <w:sz w:val="14"/>
                <w:szCs w:val="14"/>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3,907,429</w:t>
            </w:r>
          </w:p>
        </w:tc>
        <w:tc>
          <w:tcPr>
            <w:tcW w:w="80" w:type="dxa"/>
            <w:vAlign w:val="bottom"/>
          </w:tcPr>
          <w:p>
            <w:pPr>
              <w:spacing w:after="0"/>
              <w:rPr>
                <w:sz w:val="11"/>
                <w:szCs w:val="11"/>
                <w:color w:val="auto"/>
              </w:rPr>
            </w:pPr>
          </w:p>
        </w:tc>
        <w:tc>
          <w:tcPr>
            <w:tcW w:w="200" w:type="dxa"/>
            <w:vAlign w:val="bottom"/>
          </w:tcPr>
          <w:p>
            <w:pPr>
              <w:ind w:left="40"/>
              <w:spacing w:after="0" w:line="129" w:lineRule="exact"/>
              <w:rPr>
                <w:sz w:val="20"/>
                <w:szCs w:val="20"/>
                <w:color w:val="auto"/>
              </w:rPr>
            </w:pPr>
            <w:r>
              <w:rPr>
                <w:rFonts w:ascii="Arial" w:cs="Arial" w:eastAsia="Arial" w:hAnsi="Arial"/>
                <w:sz w:val="14"/>
                <w:szCs w:val="14"/>
                <w:color w:val="auto"/>
              </w:rPr>
              <w:t>​ ​</w:t>
            </w:r>
          </w:p>
        </w:tc>
        <w:tc>
          <w:tcPr>
            <w:tcW w:w="620" w:type="dxa"/>
            <w:vAlign w:val="bottom"/>
          </w:tcPr>
          <w:p>
            <w:pPr>
              <w:spacing w:after="0"/>
              <w:rPr>
                <w:sz w:val="11"/>
                <w:szCs w:val="11"/>
                <w:color w:val="auto"/>
              </w:rPr>
            </w:pPr>
          </w:p>
        </w:tc>
        <w:tc>
          <w:tcPr>
            <w:tcW w:w="240" w:type="dxa"/>
            <w:vAlign w:val="bottom"/>
          </w:tcPr>
          <w:p>
            <w:pPr>
              <w:ind w:left="20"/>
              <w:spacing w:after="0" w:line="129" w:lineRule="exact"/>
              <w:rPr>
                <w:sz w:val="20"/>
                <w:szCs w:val="20"/>
                <w:color w:val="auto"/>
              </w:rPr>
            </w:pPr>
            <w:r>
              <w:rPr>
                <w:rFonts w:ascii="Arial" w:cs="Arial" w:eastAsia="Arial" w:hAnsi="Arial"/>
                <w:sz w:val="14"/>
                <w:szCs w:val="14"/>
                <w:color w:val="auto"/>
              </w:rPr>
              <w:t>​ ​</w:t>
            </w:r>
          </w:p>
        </w:tc>
        <w:tc>
          <w:tcPr>
            <w:tcW w:w="700" w:type="dxa"/>
            <w:vAlign w:val="bottom"/>
          </w:tcPr>
          <w:p>
            <w:pPr>
              <w:spacing w:after="0"/>
              <w:rPr>
                <w:sz w:val="11"/>
                <w:szCs w:val="11"/>
                <w:color w:val="auto"/>
              </w:rPr>
            </w:pPr>
          </w:p>
        </w:tc>
        <w:tc>
          <w:tcPr>
            <w:tcW w:w="200" w:type="dxa"/>
            <w:vAlign w:val="bottom"/>
          </w:tcPr>
          <w:p>
            <w:pPr>
              <w:ind w:left="40"/>
              <w:spacing w:after="0" w:line="129" w:lineRule="exact"/>
              <w:rPr>
                <w:sz w:val="20"/>
                <w:szCs w:val="20"/>
                <w:color w:val="auto"/>
              </w:rPr>
            </w:pPr>
            <w:r>
              <w:rPr>
                <w:rFonts w:ascii="Arial" w:cs="Arial" w:eastAsia="Arial" w:hAnsi="Arial"/>
                <w:sz w:val="14"/>
                <w:szCs w:val="14"/>
                <w:color w:val="auto"/>
              </w:rPr>
              <w:t>​ ​</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w w:val="92"/>
              </w:rPr>
              <w:t>21.4%</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auto"/>
            </w:tcBorders>
          </w:tcPr>
          <w:p>
            <w:pPr>
              <w:spacing w:after="0"/>
              <w:rPr>
                <w:sz w:val="5"/>
                <w:szCs w:val="5"/>
                <w:color w:val="auto"/>
              </w:rPr>
            </w:pPr>
          </w:p>
        </w:tc>
        <w:tc>
          <w:tcPr>
            <w:tcW w:w="5680" w:type="dxa"/>
            <w:vAlign w:val="bottom"/>
            <w:tcBorders>
              <w:bottom w:val="single" w:sz="8" w:color="auto"/>
            </w:tcBorders>
            <w:gridSpan w:val="2"/>
          </w:tcPr>
          <w:p>
            <w:pPr>
              <w:spacing w:after="0" w:line="68" w:lineRule="exact"/>
              <w:rPr>
                <w:sz w:val="20"/>
                <w:szCs w:val="20"/>
                <w:color w:val="auto"/>
              </w:rPr>
            </w:pPr>
            <w:r>
              <w:rPr>
                <w:rFonts w:ascii="Arial" w:cs="Arial" w:eastAsia="Arial" w:hAnsi="Arial"/>
                <w:sz w:val="7"/>
                <w:szCs w:val="7"/>
                <w:b w:val="1"/>
                <w:bCs w:val="1"/>
                <w:color w:val="auto"/>
              </w:rPr>
              <w:t xml:space="preserve">All current directors and current executive officers as a group </w:t>
            </w:r>
            <w:r>
              <w:rPr>
                <w:rFonts w:ascii="Arial" w:cs="Arial" w:eastAsia="Arial" w:hAnsi="Arial"/>
                <w:sz w:val="7"/>
                <w:szCs w:val="7"/>
                <w:color w:val="auto"/>
              </w:rPr>
              <w:t>(7 persons)</w:t>
            </w: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gridSpan w:val="2"/>
          </w:tcPr>
          <w:p>
            <w:pPr>
              <w:jc w:val="right"/>
              <w:ind w:right="2"/>
              <w:spacing w:after="0" w:line="68" w:lineRule="exact"/>
              <w:rPr>
                <w:sz w:val="20"/>
                <w:szCs w:val="20"/>
                <w:color w:val="auto"/>
              </w:rPr>
            </w:pPr>
            <w:r>
              <w:rPr>
                <w:rFonts w:ascii="Arial" w:cs="Arial" w:eastAsia="Arial" w:hAnsi="Arial"/>
                <w:sz w:val="7"/>
                <w:szCs w:val="7"/>
                <w:color w:val="auto"/>
              </w:rPr>
              <w:t>348,562</w:t>
            </w:r>
          </w:p>
        </w:tc>
        <w:tc>
          <w:tcPr>
            <w:tcW w:w="940" w:type="dxa"/>
            <w:vAlign w:val="bottom"/>
            <w:tcBorders>
              <w:bottom w:val="single" w:sz="8" w:color="auto"/>
            </w:tcBorders>
            <w:gridSpan w:val="2"/>
          </w:tcPr>
          <w:p>
            <w:pPr>
              <w:jc w:val="right"/>
              <w:ind w:right="2"/>
              <w:spacing w:after="0" w:line="68" w:lineRule="exact"/>
              <w:rPr>
                <w:sz w:val="20"/>
                <w:szCs w:val="20"/>
                <w:color w:val="auto"/>
              </w:rPr>
            </w:pPr>
            <w:r>
              <w:rPr>
                <w:rFonts w:ascii="Arial" w:cs="Arial" w:eastAsia="Arial" w:hAnsi="Arial"/>
                <w:sz w:val="7"/>
                <w:szCs w:val="7"/>
                <w:color w:val="auto"/>
              </w:rPr>
              <w:t>4,255,991</w:t>
            </w:r>
          </w:p>
        </w:tc>
        <w:tc>
          <w:tcPr>
            <w:tcW w:w="2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6320790</wp:posOffset>
            </wp:positionH>
            <wp:positionV relativeFrom="paragraph">
              <wp:posOffset>-3462655</wp:posOffset>
            </wp:positionV>
            <wp:extent cx="342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5" w:lineRule="exact"/>
        <w:rPr>
          <w:sz w:val="20"/>
          <w:szCs w:val="20"/>
          <w:color w:val="auto"/>
        </w:rPr>
      </w:pPr>
    </w:p>
    <w:p>
      <w:pPr>
        <w:ind w:left="1060" w:hanging="352"/>
        <w:spacing w:after="0"/>
        <w:tabs>
          <w:tab w:leader="none" w:pos="1060" w:val="left"/>
        </w:tabs>
        <w:numPr>
          <w:ilvl w:val="0"/>
          <w:numId w:val="36"/>
        </w:numPr>
        <w:rPr>
          <w:rFonts w:ascii="Arial" w:cs="Arial" w:eastAsia="Arial" w:hAnsi="Arial"/>
          <w:sz w:val="14"/>
          <w:szCs w:val="14"/>
          <w:color w:val="395796"/>
        </w:rPr>
      </w:pPr>
      <w:r>
        <w:rPr>
          <w:rFonts w:ascii="Arial" w:cs="Arial" w:eastAsia="Arial" w:hAnsi="Arial"/>
          <w:sz w:val="14"/>
          <w:szCs w:val="14"/>
          <w:color w:val="auto"/>
        </w:rPr>
        <w:t>Less than 1%</w:t>
      </w:r>
    </w:p>
    <w:p>
      <w:pPr>
        <w:spacing w:after="0" w:line="42" w:lineRule="exact"/>
        <w:rPr>
          <w:sz w:val="20"/>
          <w:szCs w:val="20"/>
          <w:color w:val="auto"/>
        </w:rPr>
      </w:pPr>
    </w:p>
    <w:p>
      <w:pPr>
        <w:jc w:val="both"/>
        <w:ind w:left="1060" w:right="40" w:hanging="352"/>
        <w:spacing w:after="0" w:line="271" w:lineRule="auto"/>
        <w:tabs>
          <w:tab w:leader="none" w:pos="1060" w:val="left"/>
        </w:tabs>
        <w:numPr>
          <w:ilvl w:val="0"/>
          <w:numId w:val="37"/>
        </w:numPr>
        <w:rPr>
          <w:rFonts w:ascii="Arial" w:cs="Arial" w:eastAsia="Arial" w:hAnsi="Arial"/>
          <w:sz w:val="14"/>
          <w:szCs w:val="14"/>
          <w:color w:val="395796"/>
        </w:rPr>
      </w:pPr>
      <w:r>
        <w:rPr>
          <w:rFonts w:ascii="Arial" w:cs="Arial" w:eastAsia="Arial" w:hAnsi="Arial"/>
          <w:sz w:val="14"/>
          <w:szCs w:val="14"/>
          <w:color w:val="auto"/>
        </w:rPr>
        <w:t>Information is based on a Form 4 filed jointly by Stephen H. Deckoff and Black Diamond Capital Management, L.L.C. (“Black Diamond”) with the SEC on December 9, 2025. Mr. Deckoff is the managing principal of Black Diamond, with each of Black Diamond and Mr. Deckoff having shared voting and dispositive power for 3,498,596 shares. Includes 10,228 shares that are held of record by Mr. Deckoff for the benefit of Black Diamond and/or certain Black Diamond investment vehicles managed by Black Diamond (the “Black Diamond vehicles”) and will be transferred to Black Diamond or the Black Diamond vehicles upon vesting and settlement. Mr. Deckoff’s address is 5330 Yacht Haven Grande, Suite 100, St. Thomas, U.S. Virgin Islands 00802.</w:t>
      </w:r>
    </w:p>
    <w:p>
      <w:pPr>
        <w:spacing w:after="0" w:line="4" w:lineRule="exact"/>
        <w:rPr>
          <w:rFonts w:ascii="Arial" w:cs="Arial" w:eastAsia="Arial" w:hAnsi="Arial"/>
          <w:sz w:val="14"/>
          <w:szCs w:val="14"/>
          <w:color w:val="395796"/>
        </w:rPr>
      </w:pPr>
    </w:p>
    <w:p>
      <w:pPr>
        <w:jc w:val="both"/>
        <w:ind w:left="1060" w:right="40" w:hanging="352"/>
        <w:spacing w:after="0" w:line="273" w:lineRule="auto"/>
        <w:tabs>
          <w:tab w:leader="none" w:pos="1060" w:val="left"/>
        </w:tabs>
        <w:numPr>
          <w:ilvl w:val="0"/>
          <w:numId w:val="37"/>
        </w:numPr>
        <w:rPr>
          <w:rFonts w:ascii="Arial" w:cs="Arial" w:eastAsia="Arial" w:hAnsi="Arial"/>
          <w:sz w:val="14"/>
          <w:szCs w:val="14"/>
          <w:color w:val="395796"/>
        </w:rPr>
      </w:pPr>
      <w:r>
        <w:rPr>
          <w:rFonts w:ascii="Arial" w:cs="Arial" w:eastAsia="Arial" w:hAnsi="Arial"/>
          <w:sz w:val="14"/>
          <w:szCs w:val="14"/>
          <w:color w:val="auto"/>
        </w:rPr>
        <w:t>Information is based on a Schedule 13G/A filed jointly by Bradley L. Radoff and The Radoff Family Foundation (“Foundation”) with the SEC on August 5, 2024, as updated most recently by a Form 4 filed jointly by Mr. Radoff and the Foundation with the SEC on February 12, 2026 (the “Radoff Filings”). Includes 325,000 shares held by the Foundation, with respect to which Mr. Radoff may be deemed to be the beneficial owner because he serves as a director of the Foundation. The Radoff Filings indicate that Mr. Radoff has sole voting and dispositive power over the shares held directly and by the Foundation.</w:t>
      </w:r>
    </w:p>
    <w:p>
      <w:pPr>
        <w:spacing w:after="0" w:line="2" w:lineRule="exact"/>
        <w:rPr>
          <w:rFonts w:ascii="Arial" w:cs="Arial" w:eastAsia="Arial" w:hAnsi="Arial"/>
          <w:sz w:val="14"/>
          <w:szCs w:val="14"/>
          <w:color w:val="395796"/>
        </w:rPr>
      </w:pPr>
    </w:p>
    <w:p>
      <w:pPr>
        <w:jc w:val="both"/>
        <w:ind w:left="1060" w:right="40" w:hanging="352"/>
        <w:spacing w:after="0" w:line="272" w:lineRule="auto"/>
        <w:tabs>
          <w:tab w:leader="none" w:pos="1060" w:val="left"/>
        </w:tabs>
        <w:numPr>
          <w:ilvl w:val="0"/>
          <w:numId w:val="37"/>
        </w:numPr>
        <w:rPr>
          <w:rFonts w:ascii="Arial" w:cs="Arial" w:eastAsia="Arial" w:hAnsi="Arial"/>
          <w:sz w:val="14"/>
          <w:szCs w:val="14"/>
          <w:color w:val="395796"/>
        </w:rPr>
      </w:pPr>
      <w:r>
        <w:rPr>
          <w:rFonts w:ascii="Arial" w:cs="Arial" w:eastAsia="Arial" w:hAnsi="Arial"/>
          <w:sz w:val="14"/>
          <w:szCs w:val="14"/>
          <w:color w:val="auto"/>
        </w:rPr>
        <w:t>Information is based on a Schedule 13G filed jointly by Michael Torok, JEC II Associates, LLC (“JEC”), and The Heidi S. Shippell-Heiland 2008 Revocable Trust (“Shippell-Heiland Trust”) with the SEC on August 11, 2025. The Schedule 13G indicates that Mr. Torok is the Manager of JEC and the trustee of the Shippell-Heiland Trust. The Schedule 13G states that Mr. Torok beneficially owns 1,400,000 shares of Common Stock, of which (1) 255,000 shares are owned directly, (2) 295,000 are owned by a trust to benefit Mr. Torok (as the settlor of the trust), Sara Torok, K. Peter Heiland, Matthew Canno, and Mr. Torok’s descendants, (3) 690,000 shares owned by JEC as Manager of JEC and (4) 160,000 shares owned by the Shippell-Heiland Trust as trustee of the Shippell-Heiland Trust. The Schedule 13G states that Mr. Torok has sole voting and dispositive power for 550,000 shares and shared voting and dispositive power for 850,000 shares.</w:t>
      </w:r>
    </w:p>
    <w:p>
      <w:pPr>
        <w:spacing w:after="0" w:line="4" w:lineRule="exact"/>
        <w:rPr>
          <w:rFonts w:ascii="Arial" w:cs="Arial" w:eastAsia="Arial" w:hAnsi="Arial"/>
          <w:sz w:val="14"/>
          <w:szCs w:val="14"/>
          <w:color w:val="395796"/>
        </w:rPr>
      </w:pPr>
    </w:p>
    <w:p>
      <w:pPr>
        <w:jc w:val="both"/>
        <w:ind w:left="1060" w:right="60" w:hanging="352"/>
        <w:spacing w:after="0" w:line="283" w:lineRule="auto"/>
        <w:tabs>
          <w:tab w:leader="none" w:pos="1060" w:val="left"/>
        </w:tabs>
        <w:numPr>
          <w:ilvl w:val="0"/>
          <w:numId w:val="37"/>
        </w:numPr>
        <w:rPr>
          <w:rFonts w:ascii="Arial" w:cs="Arial" w:eastAsia="Arial" w:hAnsi="Arial"/>
          <w:sz w:val="14"/>
          <w:szCs w:val="14"/>
          <w:color w:val="395796"/>
        </w:rPr>
      </w:pPr>
      <w:r>
        <w:rPr>
          <w:rFonts w:ascii="Arial" w:cs="Arial" w:eastAsia="Arial" w:hAnsi="Arial"/>
          <w:sz w:val="14"/>
          <w:szCs w:val="14"/>
          <w:color w:val="auto"/>
        </w:rPr>
        <w:t>Information is based on a Schedule 13G filed by Systematic Financial Management, L.P. with the SEC on February 10, 2026. The Schedule 13G states that Systematic Financial Management, L.P. has sole voting power for 638,094 shares and sole dispositive power for 1,078,844 shares.</w:t>
      </w:r>
    </w:p>
    <w:p>
      <w:pPr>
        <w:sectPr>
          <w:pgSz w:w="11900" w:h="16838" w:orient="portrait"/>
          <w:cols w:equalWidth="0" w:num="1">
            <w:col w:w="10060"/>
          </w:cols>
          <w:pgMar w:left="580" w:top="9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40" w:hanging="332"/>
        <w:spacing w:after="0"/>
        <w:tabs>
          <w:tab w:leader="none" w:pos="1040" w:val="left"/>
        </w:tabs>
        <w:numPr>
          <w:ilvl w:val="0"/>
          <w:numId w:val="38"/>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97" w:right="125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385445</wp:posOffset>
            </wp:positionV>
            <wp:extent cx="85725" cy="3257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325755"/>
                    </a:xfrm>
                    <a:prstGeom prst="rect">
                      <a:avLst/>
                    </a:prstGeom>
                    <a:noFill/>
                  </pic:spPr>
                </pic:pic>
              </a:graphicData>
            </a:graphic>
          </wp:anchor>
        </w:drawing>
        <w:drawing>
          <wp:anchor simplePos="0" relativeHeight="251657728" behindDoc="1" locked="0" layoutInCell="0" allowOverlap="1">
            <wp:simplePos x="0" y="0"/>
            <wp:positionH relativeFrom="column">
              <wp:posOffset>6299200</wp:posOffset>
            </wp:positionH>
            <wp:positionV relativeFrom="paragraph">
              <wp:posOffset>385445</wp:posOffset>
            </wp:positionV>
            <wp:extent cx="76835" cy="3257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700"/>
        <w:spacing w:after="0"/>
        <w:rPr>
          <w:sz w:val="20"/>
          <w:szCs w:val="20"/>
          <w:color w:val="auto"/>
        </w:rPr>
      </w:pPr>
      <w:r>
        <w:rPr>
          <w:rFonts w:ascii="Arial" w:cs="Arial" w:eastAsia="Arial" w:hAnsi="Arial"/>
          <w:sz w:val="32"/>
          <w:szCs w:val="32"/>
          <w:b w:val="1"/>
          <w:bCs w:val="1"/>
          <w:color w:val="FFFFFF"/>
        </w:rPr>
        <w:t>​</w:t>
      </w:r>
      <w:r>
        <w:rPr>
          <w:rFonts w:ascii="Arial" w:cs="Arial" w:eastAsia="Arial" w:hAnsi="Arial"/>
          <w:sz w:val="32"/>
          <w:szCs w:val="32"/>
          <w:b w:val="1"/>
          <w:bCs w:val="1"/>
          <w:color w:val="FFFFFF"/>
          <w:shd w:val="clear" w:color="auto" w:fill="395796"/>
        </w:rPr>
        <w:t>BOARD OF DIRECTORS AND COMMITTEES OF THE BOARD</w:t>
      </w:r>
      <w:r>
        <w:rPr>
          <w:rFonts w:ascii="Arial" w:cs="Arial" w:eastAsia="Arial" w:hAnsi="Arial"/>
          <w:sz w:val="32"/>
          <w:szCs w:val="32"/>
          <w:b w:val="1"/>
          <w:bCs w:val="1"/>
          <w:color w:val="FFFFFF"/>
        </w:rPr>
        <w:t>​</w:t>
      </w:r>
    </w:p>
    <w:p>
      <w:pPr>
        <w:sectPr>
          <w:pgSz w:w="11900" w:h="16838" w:orient="portrait"/>
          <w:cols w:equalWidth="0" w:num="1">
            <w:col w:w="10040"/>
          </w:cols>
          <w:pgMar w:left="580" w:top="97" w:right="1279" w:bottom="1440" w:gutter="0" w:footer="0" w:header="0"/>
        </w:sectPr>
      </w:pPr>
    </w:p>
    <w:p>
      <w:pPr>
        <w:spacing w:after="0" w:line="392"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395796"/>
        </w:rPr>
        <w:t>Director Independence</w:t>
      </w:r>
    </w:p>
    <w:p>
      <w:pPr>
        <w:spacing w:after="0" w:line="114" w:lineRule="exact"/>
        <w:rPr>
          <w:sz w:val="20"/>
          <w:szCs w:val="20"/>
          <w:color w:val="auto"/>
        </w:rPr>
      </w:pPr>
    </w:p>
    <w:p>
      <w:pPr>
        <w:jc w:val="both"/>
        <w:ind w:left="700"/>
        <w:spacing w:after="0" w:line="271" w:lineRule="auto"/>
        <w:rPr>
          <w:sz w:val="20"/>
          <w:szCs w:val="20"/>
          <w:color w:val="auto"/>
        </w:rPr>
      </w:pPr>
      <w:r>
        <w:rPr>
          <w:rFonts w:ascii="Arial" w:cs="Arial" w:eastAsia="Arial" w:hAnsi="Arial"/>
          <w:sz w:val="17"/>
          <w:szCs w:val="17"/>
          <w:color w:val="auto"/>
        </w:rPr>
        <w:t>A majority of our directors are independent directors under the rules of the Nasdaq Stock Market. Our board of directors has determined that our independent directors are Messrs. Deckoff, Kagan, Tolley, and Spytek.</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395796"/>
        </w:rPr>
        <w:t>Board Meetings</w:t>
      </w:r>
    </w:p>
    <w:p>
      <w:pPr>
        <w:spacing w:after="0" w:line="114" w:lineRule="exact"/>
        <w:rPr>
          <w:sz w:val="20"/>
          <w:szCs w:val="20"/>
          <w:color w:val="auto"/>
        </w:rPr>
      </w:pPr>
    </w:p>
    <w:p>
      <w:pPr>
        <w:jc w:val="both"/>
        <w:ind w:left="700"/>
        <w:spacing w:after="0" w:line="244" w:lineRule="auto"/>
        <w:rPr>
          <w:sz w:val="20"/>
          <w:szCs w:val="20"/>
          <w:color w:val="auto"/>
        </w:rPr>
      </w:pPr>
      <w:r>
        <w:rPr>
          <w:rFonts w:ascii="Arial" w:cs="Arial" w:eastAsia="Arial" w:hAnsi="Arial"/>
          <w:sz w:val="18"/>
          <w:szCs w:val="18"/>
          <w:color w:val="auto"/>
        </w:rPr>
        <w:t>During 2025, our board of directors met five times. Each incumbent director attended at least 75% of the total number of meetings held by the board and the committees of the board on which he served during 2025, except that Mr. Deckoff attended 40% of the meetings held by the board. To the extent reasonably practicable, directors are expected to attend board meetings, meetings of committees on which they serve, and our annual meeting of stockholders. Last year, one of the five individuals then serving as directors attended the annual meeting.</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395796"/>
        </w:rPr>
        <w:t>Board Leadership Structure</w:t>
      </w:r>
    </w:p>
    <w:p>
      <w:pPr>
        <w:spacing w:after="0" w:line="114" w:lineRule="exact"/>
        <w:rPr>
          <w:sz w:val="20"/>
          <w:szCs w:val="20"/>
          <w:color w:val="auto"/>
        </w:rPr>
      </w:pPr>
    </w:p>
    <w:p>
      <w:pPr>
        <w:jc w:val="both"/>
        <w:ind w:left="700"/>
        <w:spacing w:after="0" w:line="244" w:lineRule="auto"/>
        <w:rPr>
          <w:sz w:val="20"/>
          <w:szCs w:val="20"/>
          <w:color w:val="auto"/>
        </w:rPr>
      </w:pPr>
      <w:r>
        <w:rPr>
          <w:rFonts w:ascii="Arial" w:cs="Arial" w:eastAsia="Arial" w:hAnsi="Arial"/>
          <w:sz w:val="18"/>
          <w:szCs w:val="18"/>
          <w:color w:val="auto"/>
        </w:rPr>
        <w:t>David M. Tolley currently serves as our chairman of the board. The board has determined that, at present, separating the position of chairman of the board from the position of chief executive officer serves the best interests of KVH and our stockholders. The board currently consists entirely of independent directors, other than our president and chief executive officer. In the future, the board may determine to combine the roles of chairman of the board and chief executive officer in appropriate circumstances.</w:t>
      </w:r>
    </w:p>
    <w:p>
      <w:pPr>
        <w:spacing w:after="0" w:line="69" w:lineRule="exact"/>
        <w:rPr>
          <w:sz w:val="20"/>
          <w:szCs w:val="20"/>
          <w:color w:val="auto"/>
        </w:rPr>
      </w:pPr>
    </w:p>
    <w:p>
      <w:pPr>
        <w:jc w:val="both"/>
        <w:ind w:left="700"/>
        <w:spacing w:after="0" w:line="261" w:lineRule="auto"/>
        <w:rPr>
          <w:sz w:val="20"/>
          <w:szCs w:val="20"/>
          <w:color w:val="auto"/>
        </w:rPr>
      </w:pPr>
      <w:r>
        <w:rPr>
          <w:rFonts w:ascii="Arial" w:cs="Arial" w:eastAsia="Arial" w:hAnsi="Arial"/>
          <w:sz w:val="17"/>
          <w:szCs w:val="17"/>
          <w:color w:val="auto"/>
        </w:rPr>
        <w:t>The functions of the board are carried out by the full board, and when delegated, by the board committees. The board has delegated significant authority to the audit, compensation and nominating and corporate governance committees, each of which is comprised entirely of independent directors. The independent directors typically meet in an executive session at regularly scheduled Board meetings and additional executive sessions may be convened at any time at the request of a director.</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395796"/>
        </w:rPr>
        <w:t>Risk Management</w:t>
      </w:r>
    </w:p>
    <w:p>
      <w:pPr>
        <w:spacing w:after="0" w:line="114" w:lineRule="exact"/>
        <w:rPr>
          <w:sz w:val="20"/>
          <w:szCs w:val="20"/>
          <w:color w:val="auto"/>
        </w:rPr>
      </w:pPr>
    </w:p>
    <w:p>
      <w:pPr>
        <w:jc w:val="both"/>
        <w:ind w:left="700"/>
        <w:spacing w:after="0" w:line="244" w:lineRule="auto"/>
        <w:rPr>
          <w:sz w:val="20"/>
          <w:szCs w:val="20"/>
          <w:color w:val="auto"/>
        </w:rPr>
      </w:pPr>
      <w:r>
        <w:rPr>
          <w:rFonts w:ascii="Arial" w:cs="Arial" w:eastAsia="Arial" w:hAnsi="Arial"/>
          <w:sz w:val="18"/>
          <w:szCs w:val="18"/>
          <w:color w:val="auto"/>
        </w:rPr>
        <w:t>Our board of directors administers its risk oversight role both directly and through its committee structure. The board consists of five directors, four of whom are independent directors. Of the four independent directors, three serve on one or more of the three principal board committees, which makes them knowledgeable about the aspects of our business under the jurisdiction of those committees. The board’s audit committee meets frequently during the year and discusses with management, our chief financial officer and our independent auditor: (a) current business trends</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affecting us; (b) the major risk exposures that we face;</w:t>
      </w:r>
    </w:p>
    <w:p>
      <w:pPr>
        <w:spacing w:after="0" w:line="27" w:lineRule="exact"/>
        <w:rPr>
          <w:sz w:val="20"/>
          <w:szCs w:val="20"/>
          <w:color w:val="auto"/>
        </w:rPr>
      </w:pPr>
    </w:p>
    <w:p>
      <w:pPr>
        <w:jc w:val="both"/>
        <w:ind w:right="20" w:firstLine="9"/>
        <w:spacing w:after="0" w:line="241" w:lineRule="auto"/>
        <w:tabs>
          <w:tab w:leader="none" w:pos="3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steps management has taken to monitor and control these risks; and (d) the adequacy of internal controls that could significantly affect our financial statements. The board also receives regular reports from senior management about business plans and opportunities, as well as the challenges and risks associated with implementing those plans and taking advantage of new opportunities.</w:t>
      </w:r>
    </w:p>
    <w:p>
      <w:pPr>
        <w:spacing w:after="0" w:line="167" w:lineRule="exact"/>
        <w:rPr>
          <w:sz w:val="20"/>
          <w:szCs w:val="20"/>
          <w:color w:val="auto"/>
        </w:rPr>
      </w:pPr>
    </w:p>
    <w:p>
      <w:pPr>
        <w:spacing w:after="0"/>
        <w:rPr>
          <w:sz w:val="20"/>
          <w:szCs w:val="20"/>
          <w:color w:val="auto"/>
        </w:rPr>
      </w:pPr>
      <w:r>
        <w:rPr>
          <w:rFonts w:ascii="Arial" w:cs="Arial" w:eastAsia="Arial" w:hAnsi="Arial"/>
          <w:sz w:val="29"/>
          <w:szCs w:val="29"/>
          <w:b w:val="1"/>
          <w:bCs w:val="1"/>
          <w:color w:val="395796"/>
        </w:rPr>
        <w:t>Board Committees</w:t>
      </w:r>
    </w:p>
    <w:p>
      <w:pPr>
        <w:spacing w:after="0" w:line="114"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Our board of directors has three standing committees: the audit committee, the nominating and corporate governance committee, and the compensation committee. Each member of the audit committee, the nominating and corporate governance committee, and the compensation committee meets the independence requirements of the Nasdaq Stock Market for membership on the committees on which he serves. The audit committee, the nominating and corporate governance committee and the compensation committee each have the authority to retain independent advisors and consultants. We pay the fees and expenses of these advisors. Our board of directors has adopted a written charter for each of the audit committee, the nominating and corporate governance committee and the compensation committee. We have made each of these charters available through the Investors Relations page of our website at: https://ir.kvh.com/governance/ committee-composition.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5"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As of December 31, 2025, our audit committee was comprised of Messrs. Kagan, Tolley, and Spytek. Our audit committee provides the opportunity for direct contact between our independent registered public accounting firm and members of the board of directors; the auditor reports directly to the audit committee. The audit committee assists the Board in overseeing the integrity of our financial statements, our compliance with legal and regulatory requirements, our cybersecurity program, our independent registered public accounting firm’s qualifications and independence, and the performance of our independent registered public accounting firm. The audit committee is directly responsible for appointing, compensating, evaluating and, when necessary, terminating our independent registered public accounting firm. Our audit committee has established procedures for the treatment of complaints regarding accounting, internal accounting controls or auditing matters, including procedures for the confidential and anonymous submission by our employees of concerns regarding questionable accounting, internal accounting controls or auditing matters. Our board has determined that each of Messrs. Kagan, Tolley, and Spytek</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20"/>
        <w:spacing w:after="0"/>
        <w:rPr>
          <w:sz w:val="20"/>
          <w:szCs w:val="20"/>
          <w:color w:val="auto"/>
        </w:rPr>
      </w:pPr>
      <w:r>
        <w:rPr>
          <w:rFonts w:ascii="Arial" w:cs="Arial" w:eastAsia="Arial" w:hAnsi="Arial"/>
          <w:sz w:val="18"/>
          <w:szCs w:val="18"/>
          <w:color w:val="395796"/>
        </w:rPr>
        <w:t xml:space="preserve">KVH Industries, Inc. 2026 Proxy Statement  </w:t>
      </w:r>
      <w:r>
        <w:rPr>
          <w:rFonts w:ascii="Arial" w:cs="Arial" w:eastAsia="Arial" w:hAnsi="Arial"/>
          <w:sz w:val="18"/>
          <w:szCs w:val="18"/>
          <w:color w:val="000000"/>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227965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260" w:space="200"/>
            <w:col w:w="4580"/>
          </w:cols>
          <w:pgMar w:left="580" w:top="97" w:right="1279"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17" w:lineRule="exact"/>
        <w:rPr>
          <w:sz w:val="20"/>
          <w:szCs w:val="20"/>
          <w:color w:val="auto"/>
        </w:rPr>
      </w:pPr>
    </w:p>
    <w:p>
      <w:pPr>
        <w:jc w:val="right"/>
        <w:ind w:right="4240"/>
        <w:spacing w:after="0"/>
        <w:rPr>
          <w:sz w:val="20"/>
          <w:szCs w:val="20"/>
          <w:color w:val="auto"/>
        </w:rPr>
      </w:pPr>
      <w:r>
        <w:rPr>
          <w:rFonts w:ascii="Arial" w:cs="Arial" w:eastAsia="Arial" w:hAnsi="Arial"/>
          <w:sz w:val="18"/>
          <w:szCs w:val="18"/>
          <w:b w:val="1"/>
          <w:bCs w:val="1"/>
          <w:color w:val="395796"/>
        </w:rPr>
        <w:t>BOARD OF DIRECTORS AND COMMITTEES OF THE BOARD</w:t>
      </w:r>
    </w:p>
    <w:p>
      <w:pPr>
        <w:sectPr>
          <w:pgSz w:w="11900" w:h="16838" w:orient="portrait"/>
          <w:cols w:equalWidth="0" w:num="1">
            <w:col w:w="10020"/>
          </w:cols>
          <w:pgMar w:left="580" w:top="97" w:right="1299" w:bottom="1440" w:gutter="0" w:footer="0" w:header="0"/>
        </w:sectPr>
      </w:pPr>
    </w:p>
    <w:p>
      <w:pPr>
        <w:spacing w:after="0" w:line="185" w:lineRule="exact"/>
        <w:rPr>
          <w:sz w:val="20"/>
          <w:szCs w:val="20"/>
          <w:color w:val="auto"/>
        </w:rPr>
      </w:pPr>
    </w:p>
    <w:p>
      <w:pPr>
        <w:jc w:val="both"/>
        <w:ind w:left="700"/>
        <w:spacing w:after="0" w:line="301" w:lineRule="auto"/>
        <w:rPr>
          <w:sz w:val="20"/>
          <w:szCs w:val="20"/>
          <w:color w:val="auto"/>
        </w:rPr>
      </w:pPr>
      <w:r>
        <w:rPr>
          <w:rFonts w:ascii="Arial" w:cs="Arial" w:eastAsia="Arial" w:hAnsi="Arial"/>
          <w:sz w:val="17"/>
          <w:szCs w:val="17"/>
          <w:color w:val="auto"/>
        </w:rPr>
        <w:t>is an audit committee financial expert under the rules of the SEC. Our audit committee met four times during 2025.</w:t>
      </w:r>
    </w:p>
    <w:p>
      <w:pPr>
        <w:spacing w:after="0" w:line="36" w:lineRule="exact"/>
        <w:rPr>
          <w:sz w:val="20"/>
          <w:szCs w:val="20"/>
          <w:color w:val="auto"/>
        </w:rPr>
      </w:pPr>
    </w:p>
    <w:p>
      <w:pPr>
        <w:jc w:val="both"/>
        <w:ind w:left="700"/>
        <w:spacing w:after="0" w:line="271" w:lineRule="auto"/>
        <w:rPr>
          <w:sz w:val="20"/>
          <w:szCs w:val="20"/>
          <w:color w:val="auto"/>
        </w:rPr>
      </w:pPr>
      <w:r>
        <w:rPr>
          <w:rFonts w:ascii="Arial" w:cs="Arial" w:eastAsia="Arial" w:hAnsi="Arial"/>
          <w:sz w:val="18"/>
          <w:szCs w:val="18"/>
          <w:color w:val="auto"/>
        </w:rPr>
        <w:t>For additional information regarding the audit committee, please see “Audit Committee Report.”</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5" w:lineRule="exact"/>
        <w:rPr>
          <w:sz w:val="20"/>
          <w:szCs w:val="20"/>
          <w:color w:val="auto"/>
        </w:rPr>
      </w:pPr>
    </w:p>
    <w:p>
      <w:pPr>
        <w:jc w:val="both"/>
        <w:ind w:left="700"/>
        <w:spacing w:after="0" w:line="260" w:lineRule="auto"/>
        <w:rPr>
          <w:sz w:val="20"/>
          <w:szCs w:val="20"/>
          <w:color w:val="auto"/>
        </w:rPr>
      </w:pPr>
      <w:r>
        <w:rPr>
          <w:rFonts w:ascii="Arial" w:cs="Arial" w:eastAsia="Arial" w:hAnsi="Arial"/>
          <w:sz w:val="17"/>
          <w:szCs w:val="17"/>
          <w:color w:val="auto"/>
        </w:rPr>
        <w:t>As of December 31, 2025, our nominating and corporate governance committee was comprised of Messrs. Kagan, Tolley, and Spytek. Our nominating and corporate governance committee’s responsibilities include providing recommendations to our board of directors regarding nominees for director and membership on the committees of our board. An additional function of the committee is to develop corporate governance practices to recommend to our board and to assist our board in complying with those practices. Our nominating and corporate governance committee met once during 2025.</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Compensation Committee</w:t>
      </w:r>
    </w:p>
    <w:p>
      <w:pPr>
        <w:spacing w:after="0" w:line="115" w:lineRule="exact"/>
        <w:rPr>
          <w:sz w:val="20"/>
          <w:szCs w:val="20"/>
          <w:color w:val="auto"/>
        </w:rPr>
      </w:pPr>
    </w:p>
    <w:p>
      <w:pPr>
        <w:jc w:val="both"/>
        <w:ind w:left="700"/>
        <w:spacing w:after="0" w:line="243" w:lineRule="auto"/>
        <w:rPr>
          <w:sz w:val="20"/>
          <w:szCs w:val="20"/>
          <w:color w:val="auto"/>
        </w:rPr>
      </w:pPr>
      <w:r>
        <w:rPr>
          <w:rFonts w:ascii="Arial" w:cs="Arial" w:eastAsia="Arial" w:hAnsi="Arial"/>
          <w:sz w:val="18"/>
          <w:szCs w:val="18"/>
          <w:color w:val="auto"/>
        </w:rPr>
        <w:t>As of December 31, 2025, our compensation committee was comprised of Messrs. Kagan, Tolley, and Spytek. The compensation committee’s responsibilities include providing recommendations to our board regarding the compensation levels of directors, reviewing and approving the compensation levels of executive officers, providing recommendations to our board regarding compensation programs, administering our incentive-compensation plans and equity-based plans, authorizing grants under our stock option and incentive plans, and authorizing other equity compensation arrangements. Our compensation committee met twice during 2025.</w:t>
      </w:r>
    </w:p>
    <w:p>
      <w:pPr>
        <w:spacing w:after="0" w:line="77" w:lineRule="exact"/>
        <w:rPr>
          <w:sz w:val="20"/>
          <w:szCs w:val="20"/>
          <w:color w:val="auto"/>
        </w:rPr>
      </w:pPr>
    </w:p>
    <w:p>
      <w:pPr>
        <w:jc w:val="both"/>
        <w:ind w:left="700"/>
        <w:spacing w:after="0" w:line="267" w:lineRule="auto"/>
        <w:rPr>
          <w:sz w:val="20"/>
          <w:szCs w:val="20"/>
          <w:color w:val="auto"/>
        </w:rPr>
      </w:pPr>
      <w:r>
        <w:rPr>
          <w:rFonts w:ascii="Arial" w:cs="Arial" w:eastAsia="Arial" w:hAnsi="Arial"/>
          <w:sz w:val="17"/>
          <w:szCs w:val="17"/>
          <w:i w:val="1"/>
          <w:iCs w:val="1"/>
          <w:u w:val="single" w:color="auto"/>
          <w:color w:val="auto"/>
        </w:rPr>
        <w:t>Compensation Committee Authority; Delegation</w:t>
      </w:r>
      <w:r>
        <w:rPr>
          <w:rFonts w:ascii="Arial" w:cs="Arial" w:eastAsia="Arial" w:hAnsi="Arial"/>
          <w:sz w:val="17"/>
          <w:szCs w:val="17"/>
          <w:i w:val="1"/>
          <w:iCs w:val="1"/>
          <w:color w:val="auto"/>
        </w:rPr>
        <w:t xml:space="preserve">. </w:t>
      </w:r>
      <w:r>
        <w:rPr>
          <w:rFonts w:ascii="Arial" w:cs="Arial" w:eastAsia="Arial" w:hAnsi="Arial"/>
          <w:sz w:val="17"/>
          <w:szCs w:val="17"/>
          <w:color w:val="auto"/>
        </w:rPr>
        <w:t>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has delegated to the compensation committee of our board of directors the authority to administer compensation programs for our executive officers and non-employee directors. All principal elements of compensation paid to our executive officers and directors are subject to approval by the compensation committee. Specifically, our board has delegated authority to the compensation committee to determine and approve</w:t>
      </w:r>
    </w:p>
    <w:p>
      <w:pPr>
        <w:spacing w:after="0" w:line="5" w:lineRule="exact"/>
        <w:rPr>
          <w:sz w:val="20"/>
          <w:szCs w:val="20"/>
          <w:color w:val="auto"/>
        </w:rPr>
      </w:pPr>
    </w:p>
    <w:p>
      <w:pPr>
        <w:jc w:val="both"/>
        <w:ind w:left="700" w:firstLine="8"/>
        <w:spacing w:after="0" w:line="265" w:lineRule="auto"/>
        <w:tabs>
          <w:tab w:leader="none" w:pos="969"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compensation philosophy, including evaluating risk management and incentives that create risk, (2) annual base salaries, cash-based incentive compensation and equity-based compensation for our executive officers,</w:t>
      </w:r>
    </w:p>
    <w:p>
      <w:pPr>
        <w:jc w:val="both"/>
        <w:ind w:left="700" w:firstLine="8"/>
        <w:spacing w:after="0" w:line="251" w:lineRule="auto"/>
        <w:tabs>
          <w:tab w:leader="none" w:pos="10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equity-based compensation for our non-executive employees and (4) the compensation of our non-employee directors, including cash and equity-based compensation. Under the terms of our 2016 Plan, the compensation committee may delegate authority to one or more executive officers to grant awards at fair market value to persons who are not subject to Section 16 of the Exchange Act and who are not “covered persons” under Section 162(m) of the Internal Revenue Code of 1986, as amended. The compensation committee must specify a limit on the number of awards that may be granted and establish guidelines for the exercise price of any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stock option, the conversion ratio or price of other awards and vesting criteria. The compensation committee has not delegated any such authority.</w:t>
      </w:r>
    </w:p>
    <w:p>
      <w:pPr>
        <w:spacing w:after="0" w:line="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Compensation Committee Process; Role of </w:t>
      </w:r>
      <w:r>
        <w:rPr>
          <w:rFonts w:ascii="Arial" w:cs="Arial" w:eastAsia="Arial" w:hAnsi="Arial"/>
          <w:sz w:val="18"/>
          <w:szCs w:val="18"/>
          <w:i w:val="1"/>
          <w:iCs w:val="1"/>
          <w:u w:val="single" w:color="auto"/>
          <w:color w:val="auto"/>
        </w:rPr>
        <w:t>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The base salary and equity award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-152400</wp:posOffset>
            </wp:positionV>
            <wp:extent cx="288544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85440" cy="8255"/>
                    </a:xfrm>
                    <a:prstGeom prst="rect">
                      <a:avLst/>
                    </a:prstGeom>
                    <a:noFill/>
                  </pic:spPr>
                </pic:pic>
              </a:graphicData>
            </a:graphic>
          </wp:anchor>
        </w:drawing>
      </w:r>
    </w:p>
    <w:p>
      <w:pPr>
        <w:jc w:val="both"/>
        <w:spacing w:after="0" w:line="254" w:lineRule="auto"/>
        <w:rPr>
          <w:sz w:val="20"/>
          <w:szCs w:val="20"/>
          <w:color w:val="auto"/>
        </w:rPr>
      </w:pPr>
      <w:r>
        <w:rPr>
          <w:rFonts w:ascii="Arial" w:cs="Arial" w:eastAsia="Arial" w:hAnsi="Arial"/>
          <w:sz w:val="17"/>
          <w:szCs w:val="17"/>
          <w:color w:val="auto"/>
        </w:rPr>
        <w:t>executive, together with the annual cash-based incentive compensation plan for all executives, have historically been established within the first quarter of each fiscal year at meetings of the compensation committee held for this purpose. These meetings generally follow one or more informal presentations or discussions of our financial performance, including achievement of performance targets, for the prior fiscal year and an internal business plan for the then-current fiscal year for goal-setting purposes. In 2025 and 2024, equity awards were granted in the first quarter. In deciding the compensation to be awarded to the executive officers other than the chief executive officer, the compensation committee reviews and evaluates recommendations from the chief executive officer. The members of the compensation committee discuss these recommendations with the chief executive officer. In deciding the compensation to be awarded to the chief executive officer, the compensation committee typically receives a self-assessment from the chief executive officer and recommendations from the chairman of the compensation committee. The members of the compensation committee then discuss the chairman’s recommendations. The chief executive officer is not present at the time of these deliberations. The compensation committee may accept or adjust any recommendations, and the compensation committee makes all final compensation decisions.</w:t>
      </w:r>
    </w:p>
    <w:p>
      <w:pPr>
        <w:spacing w:after="0" w:line="80"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i w:val="1"/>
          <w:iCs w:val="1"/>
          <w:u w:val="single" w:color="auto"/>
          <w:color w:val="auto"/>
        </w:rPr>
        <w:t>Role of Compensation Consultants</w:t>
      </w:r>
      <w:r>
        <w:rPr>
          <w:rFonts w:ascii="Arial" w:cs="Arial" w:eastAsia="Arial" w:hAnsi="Arial"/>
          <w:sz w:val="18"/>
          <w:szCs w:val="18"/>
          <w:i w:val="1"/>
          <w:iCs w:val="1"/>
          <w:color w:val="auto"/>
        </w:rPr>
        <w:t>.</w:t>
      </w:r>
      <w:r>
        <w:rPr>
          <w:sz w:val="20"/>
          <w:szCs w:val="20"/>
          <w:color w:val="auto"/>
        </w:rPr>
        <w:tab/>
      </w:r>
      <w:r>
        <w:rPr>
          <w:rFonts w:ascii="Arial" w:cs="Arial" w:eastAsia="Arial" w:hAnsi="Arial"/>
          <w:sz w:val="18"/>
          <w:szCs w:val="18"/>
          <w:color w:val="auto"/>
        </w:rPr>
        <w:t>In prior years, the</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compensation committee engaged Compensia, an independent compensation consulting firm, which provided guidance regarding the design of our long-term incentive compensation program. Further, in years past, the compensation committee engaged Compensia to perform a more thorough assessment of our executive compensation program, including a review of our then-current compensation arrangements, findings and observations from market data, and potential adjustments for both cash and equity compensation. Compensia’s analysis was used to determine targets for total cash-based incentive compensation as a percentage of base salary. None of Radford, Compensia or any of their respective affiliates provided any services to us in 2025 other than advising the compensation committee and its designees regarding executive compensation matters.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u w:val="single" w:color="auto"/>
          <w:color w:val="auto"/>
        </w:rPr>
        <w:t>Compensation Recovery Policy</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as of</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 2023, our board of directors implemented a compensation recovery policy to recover unearned compensation in accordance with Section 10D of the Exchange Act, Rule 10D-1 under the Exchange Act and Rule 5608 of the Nasdaq Stock Market, as well as to facilitate compliance with Section 304 of the Sarbanes-Oxley Act of 2002. The</w:t>
      </w:r>
    </w:p>
    <w:p>
      <w:pPr>
        <w:spacing w:after="0" w:line="362" w:lineRule="exact"/>
        <w:rPr>
          <w:sz w:val="20"/>
          <w:szCs w:val="20"/>
          <w:color w:val="auto"/>
        </w:rPr>
      </w:pPr>
    </w:p>
    <w:p>
      <w:pPr>
        <w:sectPr>
          <w:pgSz w:w="11900" w:h="16838" w:orient="portrait"/>
          <w:cols w:equalWidth="0" w:num="2">
            <w:col w:w="5260" w:space="200"/>
            <w:col w:w="4560"/>
          </w:cols>
          <w:pgMar w:left="580" w:top="97" w:right="1299" w:bottom="1440" w:gutter="0" w:footer="0" w:header="0"/>
          <w:type w:val="continuous"/>
        </w:sectPr>
      </w:pPr>
    </w:p>
    <w:p>
      <w:pPr>
        <w:spacing w:after="0" w:line="168" w:lineRule="exact"/>
        <w:rPr>
          <w:sz w:val="20"/>
          <w:szCs w:val="20"/>
          <w:color w:val="auto"/>
        </w:rPr>
      </w:pPr>
    </w:p>
    <w:p>
      <w:pPr>
        <w:ind w:left="1040" w:hanging="332"/>
        <w:spacing w:after="0"/>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1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395796"/>
        </w:rPr>
        <w:t>BOARD OF DIRECTORS AND COMMITTEES OF THE BOARD</w:t>
      </w:r>
    </w:p>
    <w:p>
      <w:pPr>
        <w:sectPr>
          <w:pgSz w:w="11900" w:h="16838" w:orient="portrait"/>
          <w:cols w:equalWidth="0" w:num="1">
            <w:col w:w="10020"/>
          </w:cols>
          <w:pgMar w:left="580" w:top="97" w:right="1299" w:bottom="1440" w:gutter="0" w:footer="0" w:header="0"/>
        </w:sectPr>
      </w:pPr>
    </w:p>
    <w:p>
      <w:pPr>
        <w:spacing w:after="0" w:line="185" w:lineRule="exact"/>
        <w:rPr>
          <w:sz w:val="20"/>
          <w:szCs w:val="20"/>
          <w:color w:val="auto"/>
        </w:rPr>
      </w:pPr>
    </w:p>
    <w:p>
      <w:pPr>
        <w:jc w:val="both"/>
        <w:ind w:left="700"/>
        <w:spacing w:after="0" w:line="242" w:lineRule="auto"/>
        <w:rPr>
          <w:sz w:val="20"/>
          <w:szCs w:val="20"/>
          <w:color w:val="auto"/>
        </w:rPr>
      </w:pPr>
      <w:r>
        <w:rPr>
          <w:rFonts w:ascii="Arial" w:cs="Arial" w:eastAsia="Arial" w:hAnsi="Arial"/>
          <w:sz w:val="18"/>
          <w:szCs w:val="18"/>
          <w:color w:val="auto"/>
        </w:rPr>
        <w:t>policy is administered by our compensation committee. The policy provides generally that, if we are required to prepare an accounting restatement due to material noncompliance with financial reporting requirements under applicable securities laws, we will reasonably promptly recover from each current or former executive officer any erroneously awarded incentive-based compensation (as defined in the policy) received after the effective date of the policy and during an applicable three-year recovery period, regardless of fault or responsibility, as well any misconduct-related compensation (as defined in the policy). Incentive-based compensation generally means any compensation that is granted, earned, or vested based wholly or in part upon the attainment of a financial reporting measure, including stock price and total stockholder return. The policy further provides that we will not insure or indemnify any executive officer against the loss of any erroneously awarded incentive-based compensation that is required to be recovered under the policy or any claims relating to enforcement of our rights under the policy.</w:t>
      </w:r>
    </w:p>
    <w:p>
      <w:pPr>
        <w:spacing w:after="0" w:line="151" w:lineRule="exact"/>
        <w:rPr>
          <w:sz w:val="20"/>
          <w:szCs w:val="20"/>
          <w:color w:val="auto"/>
        </w:rPr>
      </w:pPr>
    </w:p>
    <w:p>
      <w:pPr>
        <w:jc w:val="both"/>
        <w:ind w:left="700"/>
        <w:spacing w:after="0" w:line="268" w:lineRule="auto"/>
        <w:rPr>
          <w:sz w:val="20"/>
          <w:szCs w:val="20"/>
          <w:color w:val="auto"/>
        </w:rPr>
      </w:pPr>
      <w:r>
        <w:rPr>
          <w:rFonts w:ascii="Arial" w:cs="Arial" w:eastAsia="Arial" w:hAnsi="Arial"/>
          <w:sz w:val="29"/>
          <w:szCs w:val="29"/>
          <w:b w:val="1"/>
          <w:bCs w:val="1"/>
          <w:color w:val="395796"/>
        </w:rPr>
        <w:t>Director Candidates and Selection Processes</w:t>
      </w:r>
    </w:p>
    <w:p>
      <w:pPr>
        <w:spacing w:after="0" w:line="26" w:lineRule="exact"/>
        <w:rPr>
          <w:sz w:val="20"/>
          <w:szCs w:val="20"/>
          <w:color w:val="auto"/>
        </w:rPr>
      </w:pPr>
    </w:p>
    <w:p>
      <w:pPr>
        <w:jc w:val="both"/>
        <w:ind w:left="700"/>
        <w:spacing w:after="0" w:line="256" w:lineRule="auto"/>
        <w:rPr>
          <w:sz w:val="20"/>
          <w:szCs w:val="20"/>
          <w:color w:val="auto"/>
        </w:rPr>
      </w:pPr>
      <w:r>
        <w:rPr>
          <w:rFonts w:ascii="Arial" w:cs="Arial" w:eastAsia="Arial" w:hAnsi="Arial"/>
          <w:sz w:val="17"/>
          <w:szCs w:val="17"/>
          <w:color w:val="auto"/>
        </w:rPr>
        <w:t>The process followed by our nominating and corporate governance committee to identify and evaluate director candidates includes, as necessary, requests to our Board members and others for recommendations, consideration of candidates recommended by stockholders, meetings from time to time to evaluate biographical information and background materials relating to potential candidates, and interviews of selected candidates by members of the committee and other members of our board. From time to time, the committee may solicit recommendations from an executive search firm. The committee may also solicit the opinions of third parties with whom the potential candidate has had a business relationship. Once the committee is satisfied that it has collected sufficient information on which to base a judgment, the committee votes on the candidate or candidates under consideration.</w:t>
      </w:r>
    </w:p>
    <w:p>
      <w:pPr>
        <w:spacing w:after="0" w:line="79" w:lineRule="exact"/>
        <w:rPr>
          <w:sz w:val="20"/>
          <w:szCs w:val="20"/>
          <w:color w:val="auto"/>
        </w:rPr>
      </w:pPr>
    </w:p>
    <w:p>
      <w:pPr>
        <w:jc w:val="both"/>
        <w:ind w:left="700"/>
        <w:spacing w:after="0" w:line="252" w:lineRule="auto"/>
        <w:rPr>
          <w:sz w:val="20"/>
          <w:szCs w:val="20"/>
          <w:color w:val="auto"/>
        </w:rPr>
      </w:pPr>
      <w:r>
        <w:rPr>
          <w:rFonts w:ascii="Arial" w:cs="Arial" w:eastAsia="Arial" w:hAnsi="Arial"/>
          <w:sz w:val="18"/>
          <w:szCs w:val="18"/>
          <w:color w:val="auto"/>
        </w:rPr>
        <w:t>In evaluating the qualifications of any candidate for director, the committee considers, among other factors, the candidate’s depth of business experience, reputation, personal integrity, understanding of financial matters, familiarity with the periodic financial reporting process, degree of independence from management, possible conflicts of interest and willingness and ability to serve. The committee also considers whether the candidate will add diversity to the board, including the degree to which the candidate’s skills, experience and background complement or duplicate those of our existing directors and will serve the long-term interests of our stockholders. In the case of incumbent directors whose terms are set to expire, the committee also gives consideration to each director’s prior contributions to the board. The minimum qualifications that each director must possess consist of general familiarity with</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fundamental financial statements, ten years of relevant business experience, no identified conflicts of interest, no convictions in a criminal proceeding during the five years prior to the date of selection and the willingness to execute and comply with our code of ethics. Although the committee considers diversity as a factor in assessing any nomination, the board does not have a formal policy with regard to diversity in identifying director nominees. In selecting candidates to recommend for nomination as a director, the committee abides by our company-wide non-discrimination policy.</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committee will consider director candidates recommended by stockholders and use the same process to evaluate candidates regardless of whether the candidates were recommended by stockholders, directors, management or others. We suggest that stockholders make recommendations by writing to the secretary, who will in turn forward the nomination to the nominating and corporate governance committee, in care of our offices, with sufficient information about the candidate, his or her work experience, his or her qualifications for director, and his or her references as will enable the committee to evaluate the candidacy properly. We also suggest that stockholders make their recommendations well in advance of the anticipated mailing date of our next proxy statement so as to provide our nominating and corporate governance committee an adequate opportunity to complete a thorough evaluation of the candidacy, including personal interviews. We remind stockholders of the separate requirements set forth in our by-laws for nominating individuals to serve as directors, which we discuss elsewhere in this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29"/>
          <w:szCs w:val="29"/>
          <w:b w:val="1"/>
          <w:bCs w:val="1"/>
          <w:color w:val="395796"/>
        </w:rPr>
        <w:t>Board Evaluation Process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recognizes that a thoughtful and rigorous evaluation process is critical to maintaining strong board effectiveness. Consistent with our commitment to sound corporate governance practices, the nominating and corporate governance committee oversees a comprehensive annual evaluation of our board and its committees.</w:t>
      </w:r>
    </w:p>
    <w:p>
      <w:pPr>
        <w:spacing w:after="0" w:line="7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part of this board evaluation process, our board reviews the following:</w:t>
      </w:r>
    </w:p>
    <w:p>
      <w:pPr>
        <w:spacing w:after="0" w:line="45" w:lineRule="exact"/>
        <w:rPr>
          <w:sz w:val="20"/>
          <w:szCs w:val="20"/>
          <w:color w:val="auto"/>
        </w:rPr>
      </w:pPr>
    </w:p>
    <w:p>
      <w:pPr>
        <w:ind w:left="300" w:hanging="291"/>
        <w:spacing w:after="0"/>
        <w:tabs>
          <w:tab w:leader="none" w:pos="300" w:val="left"/>
        </w:tabs>
        <w:numPr>
          <w:ilvl w:val="0"/>
          <w:numId w:val="43"/>
        </w:numPr>
        <w:rPr>
          <w:rFonts w:ascii="Arial" w:cs="Arial" w:eastAsia="Arial" w:hAnsi="Arial"/>
          <w:sz w:val="18"/>
          <w:szCs w:val="18"/>
          <w:color w:val="395796"/>
        </w:rPr>
      </w:pPr>
      <w:r>
        <w:rPr>
          <w:rFonts w:ascii="Arial" w:cs="Arial" w:eastAsia="Arial" w:hAnsi="Arial"/>
          <w:sz w:val="18"/>
          <w:szCs w:val="18"/>
          <w:color w:val="auto"/>
        </w:rPr>
        <w:t>Overall board and committee performance;</w:t>
      </w:r>
    </w:p>
    <w:p>
      <w:pPr>
        <w:spacing w:after="0" w:line="117" w:lineRule="exact"/>
        <w:rPr>
          <w:rFonts w:ascii="Arial" w:cs="Arial" w:eastAsia="Arial" w:hAnsi="Arial"/>
          <w:sz w:val="18"/>
          <w:szCs w:val="18"/>
          <w:color w:val="395796"/>
        </w:rPr>
      </w:pPr>
    </w:p>
    <w:p>
      <w:pPr>
        <w:jc w:val="both"/>
        <w:ind w:left="300" w:hanging="291"/>
        <w:spacing w:after="0" w:line="268" w:lineRule="auto"/>
        <w:tabs>
          <w:tab w:leader="none" w:pos="300" w:val="left"/>
        </w:tabs>
        <w:numPr>
          <w:ilvl w:val="0"/>
          <w:numId w:val="43"/>
        </w:numPr>
        <w:rPr>
          <w:rFonts w:ascii="Arial" w:cs="Arial" w:eastAsia="Arial" w:hAnsi="Arial"/>
          <w:sz w:val="18"/>
          <w:szCs w:val="18"/>
          <w:color w:val="395796"/>
        </w:rPr>
      </w:pPr>
      <w:r>
        <w:rPr>
          <w:rFonts w:ascii="Arial" w:cs="Arial" w:eastAsia="Arial" w:hAnsi="Arial"/>
          <w:sz w:val="18"/>
          <w:szCs w:val="18"/>
          <w:color w:val="auto"/>
        </w:rPr>
        <w:t>Board composition, including whether the board has the right mix of skills and experiences to oversee the successful execution of our strategy;</w:t>
      </w:r>
    </w:p>
    <w:p>
      <w:pPr>
        <w:spacing w:after="0" w:line="62" w:lineRule="exact"/>
        <w:rPr>
          <w:rFonts w:ascii="Arial" w:cs="Arial" w:eastAsia="Arial" w:hAnsi="Arial"/>
          <w:sz w:val="18"/>
          <w:szCs w:val="18"/>
          <w:color w:val="395796"/>
        </w:rPr>
      </w:pPr>
    </w:p>
    <w:p>
      <w:pPr>
        <w:jc w:val="both"/>
        <w:ind w:left="300" w:hanging="291"/>
        <w:spacing w:after="0" w:line="268" w:lineRule="auto"/>
        <w:tabs>
          <w:tab w:leader="none" w:pos="300" w:val="left"/>
        </w:tabs>
        <w:numPr>
          <w:ilvl w:val="0"/>
          <w:numId w:val="43"/>
        </w:numPr>
        <w:rPr>
          <w:rFonts w:ascii="Arial" w:cs="Arial" w:eastAsia="Arial" w:hAnsi="Arial"/>
          <w:sz w:val="18"/>
          <w:szCs w:val="18"/>
          <w:color w:val="395796"/>
        </w:rPr>
      </w:pPr>
      <w:r>
        <w:rPr>
          <w:rFonts w:ascii="Arial" w:cs="Arial" w:eastAsia="Arial" w:hAnsi="Arial"/>
          <w:sz w:val="18"/>
          <w:szCs w:val="18"/>
          <w:color w:val="auto"/>
        </w:rPr>
        <w:t>Board discussion topics, meeting agendas and materials, with the goal of maintaining efficient and effective meetings; and</w:t>
      </w:r>
    </w:p>
    <w:p>
      <w:pPr>
        <w:spacing w:after="0" w:line="62" w:lineRule="exact"/>
        <w:rPr>
          <w:rFonts w:ascii="Arial" w:cs="Arial" w:eastAsia="Arial" w:hAnsi="Arial"/>
          <w:sz w:val="18"/>
          <w:szCs w:val="18"/>
          <w:color w:val="395796"/>
        </w:rPr>
      </w:pPr>
    </w:p>
    <w:p>
      <w:pPr>
        <w:jc w:val="both"/>
        <w:ind w:left="300" w:hanging="291"/>
        <w:spacing w:after="0" w:line="268" w:lineRule="auto"/>
        <w:tabs>
          <w:tab w:leader="none" w:pos="300" w:val="left"/>
        </w:tabs>
        <w:numPr>
          <w:ilvl w:val="0"/>
          <w:numId w:val="43"/>
        </w:numPr>
        <w:rPr>
          <w:rFonts w:ascii="Arial" w:cs="Arial" w:eastAsia="Arial" w:hAnsi="Arial"/>
          <w:sz w:val="18"/>
          <w:szCs w:val="18"/>
          <w:color w:val="395796"/>
        </w:rPr>
      </w:pPr>
      <w:r>
        <w:rPr>
          <w:rFonts w:ascii="Arial" w:cs="Arial" w:eastAsia="Arial" w:hAnsi="Arial"/>
          <w:sz w:val="18"/>
          <w:szCs w:val="18"/>
          <w:color w:val="auto"/>
        </w:rPr>
        <w:t>Culture and the board’s ability to promote candid discussion within the board and with senior management.</w:t>
      </w:r>
    </w:p>
    <w:p>
      <w:pPr>
        <w:spacing w:after="0" w:line="200" w:lineRule="exact"/>
        <w:rPr>
          <w:sz w:val="20"/>
          <w:szCs w:val="20"/>
          <w:color w:val="auto"/>
        </w:rPr>
      </w:pPr>
    </w:p>
    <w:p>
      <w:pPr>
        <w:sectPr>
          <w:pgSz w:w="11900" w:h="16838" w:orient="portrait"/>
          <w:cols w:equalWidth="0" w:num="2">
            <w:col w:w="5260" w:space="200"/>
            <w:col w:w="4560"/>
          </w:cols>
          <w:pgMar w:left="580" w:top="97" w:right="1299" w:bottom="1440" w:gutter="0" w:footer="0" w:header="0"/>
          <w:type w:val="continuous"/>
        </w:sectPr>
      </w:pPr>
    </w:p>
    <w:p>
      <w:pPr>
        <w:spacing w:after="0" w:line="160" w:lineRule="exact"/>
        <w:rPr>
          <w:sz w:val="20"/>
          <w:szCs w:val="20"/>
          <w:color w:val="auto"/>
        </w:rPr>
      </w:pPr>
    </w:p>
    <w:p>
      <w:pPr>
        <w:ind w:left="6280"/>
        <w:spacing w:after="0"/>
        <w:rPr>
          <w:sz w:val="20"/>
          <w:szCs w:val="20"/>
          <w:color w:val="auto"/>
        </w:rPr>
      </w:pPr>
      <w:r>
        <w:rPr>
          <w:rFonts w:ascii="Arial" w:cs="Arial" w:eastAsia="Arial" w:hAnsi="Arial"/>
          <w:sz w:val="17"/>
          <w:szCs w:val="17"/>
          <w:color w:val="395796"/>
        </w:rPr>
        <w:t xml:space="preserve">KVH Industries, Inc. 2026 Proxy Statement  </w:t>
      </w:r>
      <w:r>
        <w:rPr>
          <w:rFonts w:ascii="Arial" w:cs="Arial" w:eastAsia="Arial" w:hAnsi="Arial"/>
          <w:sz w:val="17"/>
          <w:szCs w:val="17"/>
          <w:color w:val="000000"/>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17" w:lineRule="exact"/>
        <w:rPr>
          <w:sz w:val="20"/>
          <w:szCs w:val="20"/>
          <w:color w:val="auto"/>
        </w:rPr>
      </w:pPr>
    </w:p>
    <w:p>
      <w:pPr>
        <w:jc w:val="right"/>
        <w:ind w:right="4240"/>
        <w:spacing w:after="0"/>
        <w:rPr>
          <w:sz w:val="20"/>
          <w:szCs w:val="20"/>
          <w:color w:val="auto"/>
        </w:rPr>
      </w:pPr>
      <w:r>
        <w:rPr>
          <w:rFonts w:ascii="Arial" w:cs="Arial" w:eastAsia="Arial" w:hAnsi="Arial"/>
          <w:sz w:val="18"/>
          <w:szCs w:val="18"/>
          <w:b w:val="1"/>
          <w:bCs w:val="1"/>
          <w:color w:val="395796"/>
        </w:rPr>
        <w:t>BOARD OF DIRECTORS AND COMMITTEES OF THE BOARD</w:t>
      </w:r>
    </w:p>
    <w:p>
      <w:pPr>
        <w:sectPr>
          <w:pgSz w:w="11900" w:h="16838" w:orient="portrait"/>
          <w:cols w:equalWidth="0" w:num="1">
            <w:col w:w="10020"/>
          </w:cols>
          <w:pgMar w:left="580" w:top="97" w:right="1299" w:bottom="1440" w:gutter="0" w:footer="0" w:header="0"/>
        </w:sectPr>
      </w:pPr>
    </w:p>
    <w:p>
      <w:pPr>
        <w:spacing w:after="0" w:line="185" w:lineRule="exact"/>
        <w:rPr>
          <w:sz w:val="20"/>
          <w:szCs w:val="20"/>
          <w:color w:val="auto"/>
        </w:rPr>
      </w:pPr>
    </w:p>
    <w:p>
      <w:pPr>
        <w:jc w:val="both"/>
        <w:ind w:left="700"/>
        <w:spacing w:after="0" w:line="266" w:lineRule="auto"/>
        <w:rPr>
          <w:sz w:val="20"/>
          <w:szCs w:val="20"/>
          <w:color w:val="auto"/>
        </w:rPr>
      </w:pPr>
      <w:r>
        <w:rPr>
          <w:rFonts w:ascii="Arial" w:cs="Arial" w:eastAsia="Arial" w:hAnsi="Arial"/>
          <w:sz w:val="17"/>
          <w:szCs w:val="17"/>
          <w:color w:val="auto"/>
        </w:rPr>
        <w:t>The process is led by the chair of our nominating and corporate governance committee, who conducts one-on-one interviews with each director. Comments from each director are anonymized before sharing with the full board to ensure candid reporting and a full and frank discussion.</w:t>
      </w:r>
    </w:p>
    <w:p>
      <w:pPr>
        <w:spacing w:after="0" w:line="64" w:lineRule="exact"/>
        <w:rPr>
          <w:sz w:val="20"/>
          <w:szCs w:val="20"/>
          <w:color w:val="auto"/>
        </w:rPr>
      </w:pPr>
    </w:p>
    <w:p>
      <w:pPr>
        <w:jc w:val="both"/>
        <w:ind w:left="700"/>
        <w:spacing w:after="0" w:line="252" w:lineRule="auto"/>
        <w:rPr>
          <w:sz w:val="20"/>
          <w:szCs w:val="20"/>
          <w:color w:val="auto"/>
        </w:rPr>
      </w:pPr>
      <w:r>
        <w:rPr>
          <w:rFonts w:ascii="Arial" w:cs="Arial" w:eastAsia="Arial" w:hAnsi="Arial"/>
          <w:sz w:val="18"/>
          <w:szCs w:val="18"/>
          <w:color w:val="auto"/>
        </w:rPr>
        <w:t>The feedback received during this process is used to facilitate enhancements to the board’s functioning, committee leadership, meetings and, where appropriate, composition.</w:t>
      </w:r>
    </w:p>
    <w:p>
      <w:pPr>
        <w:spacing w:after="0" w:line="155" w:lineRule="exact"/>
        <w:rPr>
          <w:sz w:val="20"/>
          <w:szCs w:val="20"/>
          <w:color w:val="auto"/>
        </w:rPr>
      </w:pPr>
    </w:p>
    <w:p>
      <w:pPr>
        <w:ind w:left="700"/>
        <w:spacing w:after="0"/>
        <w:rPr>
          <w:sz w:val="20"/>
          <w:szCs w:val="20"/>
          <w:color w:val="auto"/>
        </w:rPr>
      </w:pPr>
      <w:r>
        <w:rPr>
          <w:rFonts w:ascii="Arial" w:cs="Arial" w:eastAsia="Arial" w:hAnsi="Arial"/>
          <w:sz w:val="29"/>
          <w:szCs w:val="29"/>
          <w:b w:val="1"/>
          <w:bCs w:val="1"/>
          <w:color w:val="395796"/>
        </w:rPr>
        <w:t>Corporate Governance</w:t>
      </w:r>
    </w:p>
    <w:p>
      <w:pPr>
        <w:spacing w:after="0" w:line="114" w:lineRule="exact"/>
        <w:rPr>
          <w:sz w:val="20"/>
          <w:szCs w:val="20"/>
          <w:color w:val="auto"/>
        </w:rPr>
      </w:pPr>
    </w:p>
    <w:p>
      <w:pPr>
        <w:jc w:val="both"/>
        <w:ind w:left="700"/>
        <w:spacing w:after="0" w:line="246" w:lineRule="auto"/>
        <w:rPr>
          <w:sz w:val="20"/>
          <w:szCs w:val="20"/>
          <w:color w:val="auto"/>
        </w:rPr>
      </w:pPr>
      <w:r>
        <w:rPr>
          <w:rFonts w:ascii="Arial" w:cs="Arial" w:eastAsia="Arial" w:hAnsi="Arial"/>
          <w:sz w:val="18"/>
          <w:szCs w:val="18"/>
          <w:color w:val="auto"/>
        </w:rPr>
        <w:t>We seek to ensure that good governance and responsible business principles and practices are part of our culture and values and the way we do business. To maintain and enhance our corporate governance, the board of directors and the nominating and corporate governance committee periodically refine our corporate governance policies, procedures and practices.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Majority Voting in Uncontested Director Elections</w:t>
      </w:r>
    </w:p>
    <w:p>
      <w:pPr>
        <w:spacing w:after="0" w:line="115" w:lineRule="exact"/>
        <w:rPr>
          <w:sz w:val="20"/>
          <w:szCs w:val="20"/>
          <w:color w:val="auto"/>
        </w:rPr>
      </w:pPr>
    </w:p>
    <w:p>
      <w:pPr>
        <w:jc w:val="both"/>
        <w:ind w:left="700"/>
        <w:spacing w:after="0" w:line="266" w:lineRule="auto"/>
        <w:rPr>
          <w:sz w:val="20"/>
          <w:szCs w:val="20"/>
          <w:color w:val="auto"/>
        </w:rPr>
      </w:pPr>
      <w:r>
        <w:rPr>
          <w:rFonts w:ascii="Arial" w:cs="Arial" w:eastAsia="Arial" w:hAnsi="Arial"/>
          <w:sz w:val="17"/>
          <w:szCs w:val="17"/>
          <w:color w:val="auto"/>
        </w:rPr>
        <w:t>Our by-laws provide for majority voting in uncontested director elections and plurality voting in contested director elections. A contested election is an election for which our secretary determines that the number of director candidates (measured as of the date that is ten days before the date on which we file with the SEC our definitive proxy statement for the relevant meeting) exceeds the number of available director positions. Our by-laws require that, in order for a nominee for election to the board of directors in an uncontested election to be elected, he or she must receive a majority of the votes properly cast at the meeting. Ballots for uncontested elections allow stockholders to vote “FOR” or “AGAINST” each nominee and also allow stockholders to abstain from voting on any nominee. Abstentions and broker non-votes will have no effect on the outcome of any election for director. Under our by-laws and in accordance with Delaware law, an incumbent director’s term extends until his or her successor is duly elected and qualified, or until he or she resigns or is removed from office. Thus, an incumbent director who fails to receive the required vote for re-election in an uncontested election at an annual meeting would continue serving as a director (sometimes referred to as a “holdover director”) until his or her term ends for one of the foregoing reasons. In order to address the situation where an incumbent director in an uncontested election receives more votes “AGAINST” his or her re-election than votes “FOR” his or her re-election, the board has adopted a policy to the effect that, in order for an incumbent director in an uncontested election to be nominated for re-election, that director should tender a resignation that would become effective only upon both</w:t>
      </w:r>
    </w:p>
    <w:p>
      <w:pPr>
        <w:spacing w:after="0" w:line="214" w:lineRule="exact"/>
        <w:rPr>
          <w:sz w:val="20"/>
          <w:szCs w:val="20"/>
          <w:color w:val="auto"/>
        </w:rPr>
      </w:pPr>
    </w:p>
    <w:p>
      <w:pPr>
        <w:jc w:val="both"/>
        <w:ind w:left="700" w:firstLine="8"/>
        <w:spacing w:after="0" w:line="254" w:lineRule="auto"/>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failure to obtain the requisite vote for re-election and (ii) the acceptance of the resignation by the board of directors. If an incumbent director were to fail to obtain the requisite vote for re-election, the nominating and corporate governance committee (or another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appropriate committee) and the Board would consider the resignation in light of the surrounding circumstances. The policy adopted by the board states that the board will publicly announce its decision regarding the resignation within 90 days after certification of the results of the applicable annual meeting.</w:t>
      </w:r>
    </w:p>
    <w:p>
      <w:pPr>
        <w:spacing w:after="0" w:line="146" w:lineRule="exact"/>
        <w:rPr>
          <w:sz w:val="20"/>
          <w:szCs w:val="20"/>
          <w:color w:val="auto"/>
        </w:rPr>
      </w:pPr>
    </w:p>
    <w:p>
      <w:pPr>
        <w:ind w:right="80"/>
        <w:spacing w:after="0" w:line="268" w:lineRule="auto"/>
        <w:rPr>
          <w:sz w:val="20"/>
          <w:szCs w:val="20"/>
          <w:color w:val="auto"/>
        </w:rPr>
      </w:pPr>
      <w:r>
        <w:rPr>
          <w:rFonts w:ascii="Arial" w:cs="Arial" w:eastAsia="Arial" w:hAnsi="Arial"/>
          <w:sz w:val="29"/>
          <w:szCs w:val="29"/>
          <w:b w:val="1"/>
          <w:bCs w:val="1"/>
          <w:color w:val="395796"/>
        </w:rPr>
        <w:t>Communications with our Board of Directors</w:t>
      </w:r>
    </w:p>
    <w:p>
      <w:pPr>
        <w:spacing w:after="0" w:line="2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Our board, including all of the independent directors, has established a process for facilitating stockholder communications with our board. Stockholders wishing to communicate with our board should send written correspondence to the attention of our corporate secretary, Felise B. Feingold, KVH Industries, Inc., 500 Wood Street, Unit 320,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Floor, Bristol, RI 02809, USA, and should include with the correspondence evidence that the sender of the communication is one of our stockholders. Satisfactory evidence would include, for example, contemporaneous correspondence from a brokerage firm indicating the identity of the stockholder and the number of shares held. Our secretary will forward all mail to each member of our board of directors.</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b w:val="1"/>
          <w:bCs w:val="1"/>
          <w:color w:val="395796"/>
        </w:rPr>
        <w:t>Code of Ethics</w:t>
      </w:r>
    </w:p>
    <w:p>
      <w:pPr>
        <w:spacing w:after="0" w:line="11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adopted a code of ethics that applies to all of our directors, executive officers and employees, including our principal executive officer and principal financial and accounting officer. The code of ethics includes provisions covering compliance with laws and regulations, insider trading practices, conflicts of interest, confidentiality, protection and proper use of our assets, accounting and record keeping, fair competition and fair dealing, business gifts and entertainment, payments to government personnel and the reporting of illegal or unethical behavior.</w:t>
      </w:r>
    </w:p>
    <w:p>
      <w:pPr>
        <w:spacing w:after="0" w:line="8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You can obtain a copy of our code of ethics through the Investor Relations page of our website at http://kvh.com/ircoe.</w:t>
      </w:r>
    </w:p>
    <w:p>
      <w:pPr>
        <w:spacing w:after="0" w:line="167" w:lineRule="exact"/>
        <w:rPr>
          <w:sz w:val="20"/>
          <w:szCs w:val="20"/>
          <w:color w:val="auto"/>
        </w:rPr>
      </w:pPr>
    </w:p>
    <w:p>
      <w:pPr>
        <w:spacing w:after="0"/>
        <w:rPr>
          <w:sz w:val="20"/>
          <w:szCs w:val="20"/>
          <w:color w:val="auto"/>
        </w:rPr>
      </w:pPr>
      <w:r>
        <w:rPr>
          <w:rFonts w:ascii="Arial" w:cs="Arial" w:eastAsia="Arial" w:hAnsi="Arial"/>
          <w:sz w:val="29"/>
          <w:szCs w:val="29"/>
          <w:b w:val="1"/>
          <w:bCs w:val="1"/>
          <w:color w:val="395796"/>
        </w:rPr>
        <w:t>Securities Trading Policy</w:t>
      </w:r>
    </w:p>
    <w:p>
      <w:pPr>
        <w:spacing w:after="0" w:line="11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adopted a securities trading policy that applies to our directors, officers and employees, as well as certain related persons. In general, the policy prohibits persons who have material non-public information about us, or who obtain material non-public information about another company while acting on our behalf, from trading in the relevant securities or otherwise misusing such information, including “tipping” others. The policy also prohibits short-selling, transactions in derivatives, hedging or pledging with respect to our securities.</w:t>
      </w:r>
    </w:p>
    <w:p>
      <w:pPr>
        <w:spacing w:after="0" w:line="6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Our securities trading policy includes a blackout policy, under which certain directors, officers and employees who regularly have access to material non-public information</w:t>
      </w:r>
    </w:p>
    <w:p>
      <w:pPr>
        <w:spacing w:after="0" w:line="554" w:lineRule="exact"/>
        <w:rPr>
          <w:sz w:val="20"/>
          <w:szCs w:val="20"/>
          <w:color w:val="auto"/>
        </w:rPr>
      </w:pPr>
    </w:p>
    <w:p>
      <w:pPr>
        <w:sectPr>
          <w:pgSz w:w="11900" w:h="16838" w:orient="portrait"/>
          <w:cols w:equalWidth="0" w:num="2">
            <w:col w:w="5260" w:space="200"/>
            <w:col w:w="4560"/>
          </w:cols>
          <w:pgMar w:left="580" w:top="97" w:right="1299" w:bottom="1440" w:gutter="0" w:footer="0" w:header="0"/>
          <w:type w:val="continuous"/>
        </w:sectPr>
      </w:pPr>
    </w:p>
    <w:p>
      <w:pPr>
        <w:spacing w:after="0" w:line="172" w:lineRule="exact"/>
        <w:rPr>
          <w:sz w:val="20"/>
          <w:szCs w:val="20"/>
          <w:color w:val="auto"/>
        </w:rPr>
      </w:pPr>
    </w:p>
    <w:p>
      <w:pPr>
        <w:ind w:left="1040" w:hanging="332"/>
        <w:spacing w:after="0"/>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17"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395796"/>
        </w:rPr>
        <w:t>BOARD OF DIRECTORS AND COMMITTEES OF THE BOARD</w:t>
      </w:r>
    </w:p>
    <w:p>
      <w:pPr>
        <w:sectPr>
          <w:pgSz w:w="11900" w:h="16838" w:orient="portrait"/>
          <w:cols w:equalWidth="0" w:num="1">
            <w:col w:w="10020"/>
          </w:cols>
          <w:pgMar w:left="580" w:top="97" w:right="1299" w:bottom="1440" w:gutter="0" w:footer="0" w:header="0"/>
        </w:sectPr>
      </w:pPr>
    </w:p>
    <w:p>
      <w:pPr>
        <w:spacing w:after="0" w:line="185" w:lineRule="exact"/>
        <w:rPr>
          <w:sz w:val="20"/>
          <w:szCs w:val="20"/>
          <w:color w:val="auto"/>
        </w:rPr>
      </w:pPr>
    </w:p>
    <w:p>
      <w:pPr>
        <w:jc w:val="both"/>
        <w:ind w:left="700"/>
        <w:spacing w:after="0" w:line="246" w:lineRule="auto"/>
        <w:rPr>
          <w:sz w:val="20"/>
          <w:szCs w:val="20"/>
          <w:color w:val="auto"/>
        </w:rPr>
      </w:pPr>
      <w:r>
        <w:rPr>
          <w:rFonts w:ascii="Arial" w:cs="Arial" w:eastAsia="Arial" w:hAnsi="Arial"/>
          <w:sz w:val="18"/>
          <w:szCs w:val="18"/>
          <w:color w:val="auto"/>
        </w:rPr>
        <w:t>about us may not trade in our securities during certain periods, including specified end-of-quarter blackout periods, subject to certain exceptions. For example, we permit the use of “Rule 10b5-1 trading plans” that we have precleared. We also require certain directors, officers and employees to preclear any proposed transactions in our securities with us.</w:t>
      </w:r>
    </w:p>
    <w:p>
      <w:pPr>
        <w:spacing w:after="0" w:line="67" w:lineRule="exact"/>
        <w:rPr>
          <w:sz w:val="20"/>
          <w:szCs w:val="20"/>
          <w:color w:val="auto"/>
        </w:rPr>
      </w:pPr>
    </w:p>
    <w:p>
      <w:pPr>
        <w:jc w:val="both"/>
        <w:ind w:left="700"/>
        <w:spacing w:after="0" w:line="248" w:lineRule="auto"/>
        <w:rPr>
          <w:sz w:val="20"/>
          <w:szCs w:val="20"/>
          <w:color w:val="auto"/>
        </w:rPr>
      </w:pPr>
      <w:r>
        <w:rPr>
          <w:rFonts w:ascii="Arial" w:cs="Arial" w:eastAsia="Arial" w:hAnsi="Arial"/>
          <w:sz w:val="18"/>
          <w:szCs w:val="18"/>
          <w:color w:val="auto"/>
        </w:rPr>
        <w:t>In addition, it is our policy not to trade in our securities when we have material non-public information. We do not apply this policy to transactions involving persons who also have such information, such as potential investors who may obtain confidential information from us in advance of an investment.</w:t>
      </w:r>
    </w:p>
    <w:p>
      <w:pPr>
        <w:spacing w:after="0" w:line="67" w:lineRule="exact"/>
        <w:rPr>
          <w:sz w:val="20"/>
          <w:szCs w:val="20"/>
          <w:color w:val="auto"/>
        </w:rPr>
      </w:pPr>
    </w:p>
    <w:p>
      <w:pPr>
        <w:jc w:val="both"/>
        <w:ind w:left="700"/>
        <w:spacing w:after="0" w:line="246" w:lineRule="auto"/>
        <w:rPr>
          <w:sz w:val="20"/>
          <w:szCs w:val="20"/>
          <w:color w:val="auto"/>
        </w:rPr>
      </w:pPr>
      <w:r>
        <w:rPr>
          <w:rFonts w:ascii="Arial" w:cs="Arial" w:eastAsia="Arial" w:hAnsi="Arial"/>
          <w:sz w:val="18"/>
          <w:szCs w:val="18"/>
          <w:color w:val="auto"/>
        </w:rPr>
        <w:t>We believe our securities trading policy is reasonably designed to promote compliance with insider trading laws, rules and regulations, as well as the listing standards of the Nasdaq Stock Market. We filed a copy of our securities trading policy as exhibit 19.1 to our annual report on Form 10-K for the year ended December 31, 2025.</w:t>
      </w:r>
    </w:p>
    <w:p>
      <w:pPr>
        <w:spacing w:after="0" w:line="160" w:lineRule="exact"/>
        <w:rPr>
          <w:sz w:val="20"/>
          <w:szCs w:val="20"/>
          <w:color w:val="auto"/>
        </w:rPr>
      </w:pPr>
    </w:p>
    <w:p>
      <w:pPr>
        <w:ind w:left="700" w:right="1040"/>
        <w:spacing w:after="0" w:line="268" w:lineRule="auto"/>
        <w:rPr>
          <w:sz w:val="20"/>
          <w:szCs w:val="20"/>
          <w:color w:val="auto"/>
        </w:rPr>
      </w:pPr>
      <w:r>
        <w:rPr>
          <w:rFonts w:ascii="Arial" w:cs="Arial" w:eastAsia="Arial" w:hAnsi="Arial"/>
          <w:sz w:val="29"/>
          <w:szCs w:val="29"/>
          <w:b w:val="1"/>
          <w:bCs w:val="1"/>
          <w:color w:val="395796"/>
        </w:rPr>
        <w:t>Prohibition on Hedging and Pledging our Stock</w:t>
      </w:r>
    </w:p>
    <w:p>
      <w:pPr>
        <w:spacing w:after="0" w:line="13" w:lineRule="exact"/>
        <w:rPr>
          <w:sz w:val="20"/>
          <w:szCs w:val="20"/>
          <w:color w:val="auto"/>
        </w:rPr>
      </w:pPr>
    </w:p>
    <w:p>
      <w:pPr>
        <w:jc w:val="both"/>
        <w:ind w:left="700"/>
        <w:spacing w:after="0" w:line="243" w:lineRule="auto"/>
        <w:rPr>
          <w:sz w:val="20"/>
          <w:szCs w:val="20"/>
          <w:color w:val="auto"/>
        </w:rPr>
      </w:pPr>
      <w:r>
        <w:rPr>
          <w:rFonts w:ascii="Arial" w:cs="Arial" w:eastAsia="Arial" w:hAnsi="Arial"/>
          <w:sz w:val="18"/>
          <w:szCs w:val="18"/>
          <w:color w:val="auto"/>
        </w:rPr>
        <w:t>We have adopted policies that prohibit our directors, officers and employees from engaging in short selling, transactions in derivatives (such as puts and calls), hedging, and/or pledging with respect to KVH securities. Specifically, our policies prohibit our directors, officers and employees from directly or indirectly purchasing financial instruments (including prepaid variable forward contracts, equity swaps, collars, and exchange funds), or otherwise engaging in transactions, that hedge or offset, or are designed to hedge or offset, any decrease in the market value of KVH securities.</w:t>
      </w:r>
    </w:p>
    <w:p>
      <w:pPr>
        <w:spacing w:after="0" w:line="84" w:lineRule="exact"/>
        <w:rPr>
          <w:sz w:val="20"/>
          <w:szCs w:val="20"/>
          <w:color w:val="auto"/>
        </w:rPr>
      </w:pPr>
    </w:p>
    <w:p>
      <w:pPr>
        <w:jc w:val="both"/>
        <w:ind w:left="700" w:right="20"/>
        <w:spacing w:after="0" w:line="253" w:lineRule="auto"/>
        <w:rPr>
          <w:sz w:val="20"/>
          <w:szCs w:val="20"/>
          <w:color w:val="auto"/>
        </w:rPr>
      </w:pPr>
      <w:r>
        <w:rPr>
          <w:rFonts w:ascii="Arial" w:cs="Arial" w:eastAsia="Arial" w:hAnsi="Arial"/>
          <w:sz w:val="18"/>
          <w:szCs w:val="18"/>
          <w:color w:val="auto"/>
        </w:rPr>
        <w:t>These prohibitions apply to all KVH securities, whether held directly or indirectly, including securities we may issue as compensation.</w:t>
      </w:r>
    </w:p>
    <w:p>
      <w:pPr>
        <w:spacing w:after="0" w:line="74" w:lineRule="exact"/>
        <w:rPr>
          <w:sz w:val="20"/>
          <w:szCs w:val="20"/>
          <w:color w:val="auto"/>
        </w:rPr>
      </w:pPr>
    </w:p>
    <w:p>
      <w:pPr>
        <w:jc w:val="both"/>
        <w:ind w:left="700"/>
        <w:spacing w:after="0" w:line="245" w:lineRule="auto"/>
        <w:rPr>
          <w:sz w:val="20"/>
          <w:szCs w:val="20"/>
          <w:color w:val="auto"/>
        </w:rPr>
      </w:pPr>
      <w:r>
        <w:rPr>
          <w:rFonts w:ascii="Arial" w:cs="Arial" w:eastAsia="Arial" w:hAnsi="Arial"/>
          <w:sz w:val="18"/>
          <w:szCs w:val="18"/>
          <w:color w:val="auto"/>
        </w:rPr>
        <w:t>Our policies also prohibit our directors, officers and employees from directly or indirectly pledging, hypothecating, granting any security interest in, or otherwise encumbering, any securities of KVH (including any transaction through a margin account that imposes such an encumbrance).</w:t>
      </w:r>
    </w:p>
    <w:p>
      <w:pPr>
        <w:spacing w:after="0" w:line="175" w:lineRule="exact"/>
        <w:rPr>
          <w:sz w:val="20"/>
          <w:szCs w:val="20"/>
          <w:color w:val="auto"/>
        </w:rPr>
      </w:pPr>
    </w:p>
    <w:p>
      <w:pPr>
        <w:ind w:left="700" w:right="140"/>
        <w:spacing w:after="0" w:line="277" w:lineRule="auto"/>
        <w:rPr>
          <w:sz w:val="20"/>
          <w:szCs w:val="20"/>
          <w:color w:val="auto"/>
        </w:rPr>
      </w:pPr>
      <w:r>
        <w:rPr>
          <w:rFonts w:ascii="Arial" w:cs="Arial" w:eastAsia="Arial" w:hAnsi="Arial"/>
          <w:sz w:val="29"/>
          <w:szCs w:val="29"/>
          <w:b w:val="1"/>
          <w:bCs w:val="1"/>
          <w:color w:val="395796"/>
        </w:rPr>
        <w:t>Certain Relationships and Related-Party Transactions</w:t>
      </w:r>
    </w:p>
    <w:p>
      <w:pPr>
        <w:spacing w:after="0" w:line="1"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Pursuant to our Code of Ethics, our executive officers, directors and employees are to avoid conflicts of interest, except with the approval of the board of directors. A related-party transaction would be a conflict of interest. Pursuant to its charter, the audit committee must review and approve in advance all related-party transactions. It is our policy that the audit committee review and approve transactions involving us and “related parties” (which​ includes our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directors, director nominees and executive officers and their immediate family members, as well as stockholders known by us to own five percent or more of our common stock and their immediate family members). The policy applies to any transaction in which we are a participant and any related party has a direct or indirect material interest, where the amount involved in the transaction exceeds $120,000 in a single calendar year, excluding transactions in which standing pre-approval has been given.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Pre-approved transactions include:</w:t>
      </w:r>
    </w:p>
    <w:p>
      <w:pPr>
        <w:spacing w:after="0" w:line="117" w:lineRule="exact"/>
        <w:rPr>
          <w:sz w:val="20"/>
          <w:szCs w:val="20"/>
          <w:color w:val="auto"/>
        </w:rPr>
      </w:pPr>
    </w:p>
    <w:p>
      <w:pPr>
        <w:jc w:val="both"/>
        <w:ind w:left="300" w:hanging="291"/>
        <w:spacing w:after="0" w:line="257" w:lineRule="auto"/>
        <w:tabs>
          <w:tab w:leader="none" w:pos="300" w:val="left"/>
        </w:tabs>
        <w:numPr>
          <w:ilvl w:val="0"/>
          <w:numId w:val="46"/>
        </w:numPr>
        <w:rPr>
          <w:rFonts w:ascii="Arial" w:cs="Arial" w:eastAsia="Arial" w:hAnsi="Arial"/>
          <w:sz w:val="18"/>
          <w:szCs w:val="18"/>
          <w:color w:val="395796"/>
        </w:rPr>
      </w:pPr>
      <w:r>
        <w:rPr>
          <w:rFonts w:ascii="Arial" w:cs="Arial" w:eastAsia="Arial" w:hAnsi="Arial"/>
          <w:sz w:val="18"/>
          <w:szCs w:val="18"/>
          <w:color w:val="auto"/>
        </w:rPr>
        <w:t>compensation of directors and executive officers provided that such compensation is approved by the board of directors or compensation committee or such compensation plan or other arrangement is generally available to full-time employees in the same jurisdiction; and</w:t>
      </w:r>
    </w:p>
    <w:p>
      <w:pPr>
        <w:spacing w:after="0" w:line="74" w:lineRule="exact"/>
        <w:rPr>
          <w:rFonts w:ascii="Arial" w:cs="Arial" w:eastAsia="Arial" w:hAnsi="Arial"/>
          <w:sz w:val="18"/>
          <w:szCs w:val="18"/>
          <w:color w:val="395796"/>
        </w:rPr>
      </w:pPr>
    </w:p>
    <w:p>
      <w:pPr>
        <w:jc w:val="both"/>
        <w:ind w:left="300" w:hanging="291"/>
        <w:spacing w:after="0" w:line="262" w:lineRule="auto"/>
        <w:tabs>
          <w:tab w:leader="none" w:pos="300" w:val="left"/>
        </w:tabs>
        <w:numPr>
          <w:ilvl w:val="0"/>
          <w:numId w:val="46"/>
        </w:numPr>
        <w:rPr>
          <w:rFonts w:ascii="Arial" w:cs="Arial" w:eastAsia="Arial" w:hAnsi="Arial"/>
          <w:sz w:val="18"/>
          <w:szCs w:val="18"/>
          <w:color w:val="395796"/>
        </w:rPr>
      </w:pPr>
      <w:r>
        <w:rPr>
          <w:rFonts w:ascii="Arial" w:cs="Arial" w:eastAsia="Arial" w:hAnsi="Arial"/>
          <w:sz w:val="18"/>
          <w:szCs w:val="18"/>
          <w:color w:val="auto"/>
        </w:rPr>
        <w:t>transactions where the related party’s interest arises solely from ownership of our common stock and such interest is proportionate to the interests of stockholders.</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audit committee is responsible for reviewing the material facts of all related-party transactions, subject to the exceptions described above. The audit committee will either approve or disapprove the entry into the related-party transaction. If advance approval is not feasible, the transaction will be considered and, if the audit committee determines it to be appropriate, ratified at the audit committee’s next regularly scheduled meeting.</w:t>
      </w:r>
    </w:p>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determining whether to approve or ratify a transaction with a related party, the audit committee will take into account among other factors that it determines to be appropriate:</w:t>
      </w:r>
    </w:p>
    <w:p>
      <w:pPr>
        <w:spacing w:after="0" w:line="62" w:lineRule="exact"/>
        <w:rPr>
          <w:sz w:val="20"/>
          <w:szCs w:val="20"/>
          <w:color w:val="auto"/>
        </w:rPr>
      </w:pPr>
    </w:p>
    <w:p>
      <w:pPr>
        <w:jc w:val="both"/>
        <w:ind w:left="300" w:right="20" w:hanging="291"/>
        <w:spacing w:after="0" w:line="268" w:lineRule="auto"/>
        <w:tabs>
          <w:tab w:leader="none" w:pos="300" w:val="left"/>
        </w:tabs>
        <w:numPr>
          <w:ilvl w:val="0"/>
          <w:numId w:val="47"/>
        </w:numPr>
        <w:rPr>
          <w:rFonts w:ascii="Arial" w:cs="Arial" w:eastAsia="Arial" w:hAnsi="Arial"/>
          <w:sz w:val="18"/>
          <w:szCs w:val="18"/>
          <w:color w:val="395796"/>
        </w:rPr>
      </w:pPr>
      <w:r>
        <w:rPr>
          <w:rFonts w:ascii="Arial" w:cs="Arial" w:eastAsia="Arial" w:hAnsi="Arial"/>
          <w:sz w:val="18"/>
          <w:szCs w:val="18"/>
          <w:color w:val="auto"/>
        </w:rPr>
        <w:t>whether the transaction is on terms no less favorable than terms generally available to an unaffiliated third party under the same or similar circumstances;</w:t>
      </w:r>
    </w:p>
    <w:p>
      <w:pPr>
        <w:spacing w:after="0" w:line="62" w:lineRule="exact"/>
        <w:rPr>
          <w:rFonts w:ascii="Arial" w:cs="Arial" w:eastAsia="Arial" w:hAnsi="Arial"/>
          <w:sz w:val="18"/>
          <w:szCs w:val="18"/>
          <w:color w:val="395796"/>
        </w:rPr>
      </w:pPr>
    </w:p>
    <w:p>
      <w:pPr>
        <w:ind w:left="300" w:hanging="291"/>
        <w:spacing w:after="0"/>
        <w:tabs>
          <w:tab w:leader="none" w:pos="300" w:val="left"/>
        </w:tabs>
        <w:numPr>
          <w:ilvl w:val="0"/>
          <w:numId w:val="47"/>
        </w:numPr>
        <w:rPr>
          <w:rFonts w:ascii="Arial" w:cs="Arial" w:eastAsia="Arial" w:hAnsi="Arial"/>
          <w:sz w:val="18"/>
          <w:szCs w:val="18"/>
          <w:color w:val="395796"/>
        </w:rPr>
      </w:pPr>
      <w:r>
        <w:rPr>
          <w:rFonts w:ascii="Arial" w:cs="Arial" w:eastAsia="Arial" w:hAnsi="Arial"/>
          <w:sz w:val="18"/>
          <w:szCs w:val="18"/>
          <w:color w:val="auto"/>
        </w:rPr>
        <w:t>the business reasons for the transaction;</w:t>
      </w:r>
    </w:p>
    <w:p>
      <w:pPr>
        <w:spacing w:after="0" w:line="117" w:lineRule="exact"/>
        <w:rPr>
          <w:rFonts w:ascii="Arial" w:cs="Arial" w:eastAsia="Arial" w:hAnsi="Arial"/>
          <w:sz w:val="18"/>
          <w:szCs w:val="18"/>
          <w:color w:val="395796"/>
        </w:rPr>
      </w:pPr>
    </w:p>
    <w:p>
      <w:pPr>
        <w:ind w:left="300" w:hanging="291"/>
        <w:spacing w:after="0" w:line="287" w:lineRule="auto"/>
        <w:tabs>
          <w:tab w:leader="none" w:pos="300" w:val="left"/>
        </w:tabs>
        <w:numPr>
          <w:ilvl w:val="0"/>
          <w:numId w:val="47"/>
        </w:numPr>
        <w:rPr>
          <w:rFonts w:ascii="Arial" w:cs="Arial" w:eastAsia="Arial" w:hAnsi="Arial"/>
          <w:sz w:val="18"/>
          <w:szCs w:val="18"/>
          <w:color w:val="395796"/>
        </w:rPr>
      </w:pPr>
      <w:r>
        <w:rPr>
          <w:rFonts w:ascii="Arial" w:cs="Arial" w:eastAsia="Arial" w:hAnsi="Arial"/>
          <w:sz w:val="18"/>
          <w:szCs w:val="18"/>
          <w:color w:val="auto"/>
        </w:rPr>
        <w:t>whether the transaction would impair the independence of an outside director; and</w:t>
      </w:r>
    </w:p>
    <w:p>
      <w:pPr>
        <w:spacing w:after="0" w:line="44" w:lineRule="exact"/>
        <w:rPr>
          <w:rFonts w:ascii="Arial" w:cs="Arial" w:eastAsia="Arial" w:hAnsi="Arial"/>
          <w:sz w:val="18"/>
          <w:szCs w:val="18"/>
          <w:color w:val="395796"/>
        </w:rPr>
      </w:pPr>
    </w:p>
    <w:p>
      <w:pPr>
        <w:ind w:left="300" w:hanging="291"/>
        <w:spacing w:after="0" w:line="287" w:lineRule="auto"/>
        <w:tabs>
          <w:tab w:leader="none" w:pos="300" w:val="left"/>
        </w:tabs>
        <w:numPr>
          <w:ilvl w:val="0"/>
          <w:numId w:val="47"/>
        </w:numPr>
        <w:rPr>
          <w:rFonts w:ascii="Arial" w:cs="Arial" w:eastAsia="Arial" w:hAnsi="Arial"/>
          <w:sz w:val="18"/>
          <w:szCs w:val="18"/>
          <w:color w:val="395796"/>
        </w:rPr>
      </w:pPr>
      <w:r>
        <w:rPr>
          <w:rFonts w:ascii="Arial" w:cs="Arial" w:eastAsia="Arial" w:hAnsi="Arial"/>
          <w:sz w:val="18"/>
          <w:szCs w:val="18"/>
          <w:color w:val="auto"/>
        </w:rPr>
        <w:t>the extent of the related party’s interest in the transaction.</w:t>
      </w:r>
    </w:p>
    <w:p>
      <w:pPr>
        <w:spacing w:after="0" w:line="4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Except as stated below, as of the date of this proxy statement there have been no reportable related-party transactions since January 1, 2025, nor are there any pending related-party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Cooperation Agreement</w:t>
      </w:r>
    </w:p>
    <w:p>
      <w:pPr>
        <w:spacing w:after="0" w:line="1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February 3, 2023, we entered into a cooperation agreement with Black Diamond, our largest stockholder, and Stephen H. Deckoff, currently one of our directors. Mr. Deckoff was not a director of KVH at the time we entered into the cooperation agreement. Pursuant to the cooperation agreement, we (i) granted Black Diamond a waiver, during the Standstill Period (as defined below), under our stockholder rights plan, allowing Black Diamond to acquire</w:t>
      </w:r>
    </w:p>
    <w:p>
      <w:pPr>
        <w:spacing w:after="0" w:line="200" w:lineRule="exact"/>
        <w:rPr>
          <w:sz w:val="20"/>
          <w:szCs w:val="20"/>
          <w:color w:val="auto"/>
        </w:rPr>
      </w:pPr>
    </w:p>
    <w:p>
      <w:pPr>
        <w:sectPr>
          <w:pgSz w:w="11900" w:h="16838" w:orient="portrait"/>
          <w:cols w:equalWidth="0" w:num="2">
            <w:col w:w="5260" w:space="200"/>
            <w:col w:w="4560"/>
          </w:cols>
          <w:pgMar w:left="580" w:top="97" w:right="1299" w:bottom="1440" w:gutter="0" w:footer="0" w:header="0"/>
          <w:type w:val="continuous"/>
        </w:sectPr>
      </w:pPr>
    </w:p>
    <w:p>
      <w:pPr>
        <w:spacing w:after="0" w:line="168" w:lineRule="exact"/>
        <w:rPr>
          <w:sz w:val="20"/>
          <w:szCs w:val="20"/>
          <w:color w:val="auto"/>
        </w:rPr>
      </w:pPr>
    </w:p>
    <w:p>
      <w:pPr>
        <w:ind w:left="6280"/>
        <w:spacing w:after="0"/>
        <w:rPr>
          <w:sz w:val="20"/>
          <w:szCs w:val="20"/>
          <w:color w:val="auto"/>
        </w:rPr>
      </w:pPr>
      <w:r>
        <w:rPr>
          <w:rFonts w:ascii="Arial" w:cs="Arial" w:eastAsia="Arial" w:hAnsi="Arial"/>
          <w:sz w:val="17"/>
          <w:szCs w:val="17"/>
          <w:color w:val="395796"/>
        </w:rPr>
        <w:t xml:space="preserve">KVH Industries, Inc. 2026 Proxy Statement  </w:t>
      </w:r>
      <w:r>
        <w:rPr>
          <w:rFonts w:ascii="Arial" w:cs="Arial" w:eastAsia="Arial" w:hAnsi="Arial"/>
          <w:sz w:val="17"/>
          <w:szCs w:val="17"/>
          <w:color w:val="000000"/>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17" w:lineRule="exact"/>
        <w:rPr>
          <w:sz w:val="20"/>
          <w:szCs w:val="20"/>
          <w:color w:val="auto"/>
        </w:rPr>
      </w:pPr>
    </w:p>
    <w:p>
      <w:pPr>
        <w:jc w:val="right"/>
        <w:ind w:right="4240"/>
        <w:spacing w:after="0"/>
        <w:rPr>
          <w:sz w:val="20"/>
          <w:szCs w:val="20"/>
          <w:color w:val="auto"/>
        </w:rPr>
      </w:pPr>
      <w:r>
        <w:rPr>
          <w:rFonts w:ascii="Arial" w:cs="Arial" w:eastAsia="Arial" w:hAnsi="Arial"/>
          <w:sz w:val="18"/>
          <w:szCs w:val="18"/>
          <w:b w:val="1"/>
          <w:bCs w:val="1"/>
          <w:color w:val="395796"/>
        </w:rPr>
        <w:t>BOARD OF DIRECTORS AND COMMITTEES OF THE BOARD</w:t>
      </w:r>
    </w:p>
    <w:p>
      <w:pPr>
        <w:sectPr>
          <w:pgSz w:w="11900" w:h="16838" w:orient="portrait"/>
          <w:cols w:equalWidth="0" w:num="1">
            <w:col w:w="10020"/>
          </w:cols>
          <w:pgMar w:left="580" w:top="97" w:right="1299" w:bottom="1440" w:gutter="0" w:footer="0" w:header="0"/>
        </w:sectPr>
      </w:pPr>
    </w:p>
    <w:p>
      <w:pPr>
        <w:spacing w:after="0" w:line="185" w:lineRule="exact"/>
        <w:rPr>
          <w:sz w:val="20"/>
          <w:szCs w:val="20"/>
          <w:color w:val="auto"/>
        </w:rPr>
      </w:pPr>
    </w:p>
    <w:p>
      <w:pPr>
        <w:jc w:val="both"/>
        <w:ind w:left="700"/>
        <w:spacing w:after="0" w:line="269" w:lineRule="auto"/>
        <w:rPr>
          <w:sz w:val="20"/>
          <w:szCs w:val="20"/>
          <w:color w:val="auto"/>
        </w:rPr>
      </w:pPr>
      <w:r>
        <w:rPr>
          <w:rFonts w:ascii="Arial" w:cs="Arial" w:eastAsia="Arial" w:hAnsi="Arial"/>
          <w:sz w:val="17"/>
          <w:szCs w:val="17"/>
          <w:color w:val="auto"/>
        </w:rPr>
        <w:t>up to 25% of our outstanding common stock without being deemed an “Acquiring Person” under the plan (which has since expired), (ii) permitted Mr. Deckoff to serve as an observer on our board of directors and (iii) agreed to nominate and support Mr. Deckoff as an independent Class III director at the 2023 annual meeting, subject to certain limitations. Black Diamond’s observer right terminated on June 7, 2023, the date Mr. Deckoff was elected as a director. In the event of Mr. Deckoff’s inability to serve as a director due to death, disability, incapacity or other compelling reason, Black Diamond will have the right with replace him as a director, subject to our approval (not to be unreasonably withheld or delayed) and the satisfaction of certain conditions.</w:t>
      </w:r>
    </w:p>
    <w:p>
      <w:pPr>
        <w:spacing w:after="0" w:line="65" w:lineRule="exact"/>
        <w:rPr>
          <w:sz w:val="20"/>
          <w:szCs w:val="20"/>
          <w:color w:val="auto"/>
        </w:rPr>
      </w:pPr>
    </w:p>
    <w:p>
      <w:pPr>
        <w:jc w:val="both"/>
        <w:ind w:left="700"/>
        <w:spacing w:after="0" w:line="254" w:lineRule="auto"/>
        <w:rPr>
          <w:sz w:val="20"/>
          <w:szCs w:val="20"/>
          <w:color w:val="auto"/>
        </w:rPr>
      </w:pPr>
      <w:r>
        <w:rPr>
          <w:rFonts w:ascii="Arial" w:cs="Arial" w:eastAsia="Arial" w:hAnsi="Arial"/>
          <w:sz w:val="18"/>
          <w:szCs w:val="18"/>
          <w:color w:val="auto"/>
        </w:rPr>
        <w:t>Under the cooperation agreement, Black Diamond agreed to certain voting commitments. Until the effective date of any termination or resignation letter submitted by Mr. Deckoff (or his replacement) (such period, the “Standstill Period”), Black Diamond agreed to appear in person or by proxy at each meeting of our stockholders and to vote all of its shares of our common stock in accordance with the Board’s recommendation with respect to the election, removal and/or replacement of directors. The cooperation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agreement also contained other voting commitments that expired upon the conclusion of our 2024 annual meeting of stockholders.</w:t>
      </w:r>
    </w:p>
    <w:p>
      <w:pPr>
        <w:spacing w:after="0" w:line="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Standstill Period, Black Diamond is subject to certain standstill provisions, including, among other things, agreeing not to, subject to certain exceptions, (i) acquire cumulative ownership (directly or indirectly) of more than 25% of our outstanding common stock, (ii) transfer its shares of common stock to any third party that would result in such third party owning more than 4.9% of our outstanding common stock, (iii) engage in any solicitation of proxies or consents with respect to any matter or proposal, (iv) nominate or recommend for nomination any person for election to the board, (v) make or be the proponent of any stockholder proposal, (vi) initiate or participate in any tender or exchange offer, merger, consolidation or other extraordinary transaction involving us, (vii) subject any of our voting securities to any voting arrangement or agreement, or (viii) acquire or engage in any transaction involving synthetic equity interests or short interests in us.</w:t>
      </w:r>
    </w:p>
    <w:p>
      <w:pPr>
        <w:spacing w:after="0" w:line="8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Black Diamond and we also agreed to certain non-disparagement and no-litigation provisions, subject to certain exceptions.</w:t>
      </w:r>
    </w:p>
    <w:p>
      <w:pPr>
        <w:spacing w:after="0" w:line="200" w:lineRule="exact"/>
        <w:rPr>
          <w:sz w:val="20"/>
          <w:szCs w:val="20"/>
          <w:color w:val="auto"/>
        </w:rPr>
      </w:pPr>
    </w:p>
    <w:p>
      <w:pPr>
        <w:sectPr>
          <w:pgSz w:w="11900" w:h="16838" w:orient="portrait"/>
          <w:cols w:equalWidth="0" w:num="2">
            <w:col w:w="5260" w:space="200"/>
            <w:col w:w="456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40" w:hanging="332"/>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385445</wp:posOffset>
            </wp:positionV>
            <wp:extent cx="5923280" cy="3257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232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00"/>
        <w:spacing w:after="0"/>
        <w:tabs>
          <w:tab w:leader="none" w:pos="9860" w:val="left"/>
        </w:tabs>
        <w:rPr>
          <w:sz w:val="20"/>
          <w:szCs w:val="20"/>
          <w:color w:val="auto"/>
        </w:rPr>
      </w:pPr>
      <w:r>
        <w:rPr>
          <w:rFonts w:ascii="Arial" w:cs="Arial" w:eastAsia="Arial" w:hAnsi="Arial"/>
          <w:sz w:val="32"/>
          <w:szCs w:val="32"/>
          <w:b w:val="1"/>
          <w:bCs w:val="1"/>
          <w:color w:val="FFFFFF"/>
        </w:rPr>
        <w:t>​AUDIT COMMITTEE REPORT</w:t>
      </w:r>
      <w:r>
        <w:rPr>
          <w:rFonts w:ascii="Arial" w:cs="Arial" w:eastAsia="Arial" w:hAnsi="Arial"/>
          <w:sz w:val="41"/>
          <w:szCs w:val="41"/>
          <w:b w:val="1"/>
          <w:bCs w:val="1"/>
          <w:color w:val="FFFFFF"/>
          <w:vertAlign w:val="superscript"/>
        </w:rPr>
        <w:t>(1)</w:t>
      </w:r>
      <w:r>
        <w:rPr>
          <w:rFonts w:ascii="Arial" w:cs="Arial" w:eastAsia="Arial" w:hAnsi="Arial"/>
          <w:sz w:val="17"/>
          <w:szCs w:val="17"/>
          <w:color w:val="FFFFFF"/>
        </w:rPr>
        <w:t>​</w:t>
      </w:r>
      <w:r>
        <w:rPr>
          <w:sz w:val="20"/>
          <w:szCs w:val="20"/>
          <w:color w:val="auto"/>
        </w:rPr>
        <w:tab/>
      </w:r>
      <w:r>
        <w:rPr>
          <w:rFonts w:ascii="Arial" w:cs="Arial" w:eastAsia="Arial" w:hAnsi="Arial"/>
          <w:sz w:val="32"/>
          <w:szCs w:val="32"/>
          <w:b w:val="1"/>
          <w:bCs w:val="1"/>
          <w:color w:val="FFFFFF"/>
        </w:rPr>
        <w:t>​</w:t>
      </w:r>
    </w:p>
    <w:p>
      <w:pPr>
        <w:spacing w:after="0" w:line="323" w:lineRule="exact"/>
        <w:rPr>
          <w:sz w:val="20"/>
          <w:szCs w:val="20"/>
          <w:color w:val="auto"/>
        </w:rPr>
      </w:pPr>
    </w:p>
    <w:p>
      <w:pPr>
        <w:jc w:val="both"/>
        <w:ind w:left="700"/>
        <w:spacing w:after="0" w:line="256" w:lineRule="auto"/>
        <w:rPr>
          <w:sz w:val="20"/>
          <w:szCs w:val="20"/>
          <w:color w:val="auto"/>
        </w:rPr>
      </w:pPr>
      <w:r>
        <w:rPr>
          <w:rFonts w:ascii="Arial" w:cs="Arial" w:eastAsia="Arial" w:hAnsi="Arial"/>
          <w:sz w:val="18"/>
          <w:szCs w:val="18"/>
          <w:color w:val="auto"/>
        </w:rPr>
        <w:t>The board of directors appointed an audit committee to monitor the integrity of our company’s consolidated financial statements, its system of internal control over financial reporting and the independence and performance of our independent registered public accounting firm. The audit committee also selects our company’s independent registered public accounting firm. Our board of directors adopted a charter for the audit committee in February 2004, which was most recently revised in November 2021. The audit committee currently consists of three independent directors. Each member of the audit committee meets the independence requirements of the Nasdaq Stock Market for membership on the Audit Committee.</w:t>
      </w:r>
    </w:p>
    <w:p>
      <w:pPr>
        <w:spacing w:after="0" w:line="75" w:lineRule="exact"/>
        <w:rPr>
          <w:sz w:val="20"/>
          <w:szCs w:val="20"/>
          <w:color w:val="auto"/>
        </w:rPr>
      </w:pPr>
    </w:p>
    <w:p>
      <w:pPr>
        <w:jc w:val="both"/>
        <w:ind w:left="700"/>
        <w:spacing w:after="0" w:line="256" w:lineRule="auto"/>
        <w:rPr>
          <w:sz w:val="20"/>
          <w:szCs w:val="20"/>
          <w:color w:val="auto"/>
        </w:rPr>
      </w:pPr>
      <w:r>
        <w:rPr>
          <w:rFonts w:ascii="Arial" w:cs="Arial" w:eastAsia="Arial" w:hAnsi="Arial"/>
          <w:sz w:val="18"/>
          <w:szCs w:val="18"/>
          <w:color w:val="auto"/>
        </w:rPr>
        <w:t>Our company’s management is responsible for the financial reporting process, including the system of internal control over financial reporting, and for the preparation of consolidated financial statements in accordance with accounting principles generally accepted in the United States of America. Our company’s independent registered public accounting firm is responsible for auditing those consolidated financial statements and auditing the effectiveness of internal control over financial reporting. Our responsibility is to monitor and review these processes. We have relied, without independent verification, on the information provided to us and on the representations made by our company’s management and independent registered public accounting firm.</w:t>
      </w:r>
    </w:p>
    <w:p>
      <w:pPr>
        <w:spacing w:after="0" w:line="75" w:lineRule="exact"/>
        <w:rPr>
          <w:sz w:val="20"/>
          <w:szCs w:val="20"/>
          <w:color w:val="auto"/>
        </w:rPr>
      </w:pPr>
    </w:p>
    <w:p>
      <w:pPr>
        <w:jc w:val="both"/>
        <w:ind w:left="700" w:right="20"/>
        <w:spacing w:after="0" w:line="256" w:lineRule="auto"/>
        <w:rPr>
          <w:sz w:val="20"/>
          <w:szCs w:val="20"/>
          <w:color w:val="auto"/>
        </w:rPr>
      </w:pPr>
      <w:r>
        <w:rPr>
          <w:rFonts w:ascii="Arial" w:cs="Arial" w:eastAsia="Arial" w:hAnsi="Arial"/>
          <w:sz w:val="18"/>
          <w:szCs w:val="18"/>
          <w:color w:val="auto"/>
        </w:rPr>
        <w:t>In fulfilling our oversight responsibilities, we discussed with representatives of Grant Thornton LLP, our company’s independent registered public accounting firm, the overall scope and plans for their audit of our company’s consolidated financial statements for the year ended December 31, 2025 and significant audit matters. We met with them, with and without our company’s management present, to discuss the results of their audits of our consolidated financial statements and of our company’s internal control over financial reporting and to discuss with them the overall quality of our company’s financial reporting, as well as the critical audit matters included in their report on our company’s consolidated financial statements.</w:t>
      </w:r>
    </w:p>
    <w:p>
      <w:pPr>
        <w:spacing w:after="0" w:line="75" w:lineRule="exact"/>
        <w:rPr>
          <w:sz w:val="20"/>
          <w:szCs w:val="20"/>
          <w:color w:val="auto"/>
        </w:rPr>
      </w:pPr>
    </w:p>
    <w:p>
      <w:pPr>
        <w:jc w:val="both"/>
        <w:ind w:left="700" w:right="20"/>
        <w:spacing w:after="0" w:line="287" w:lineRule="auto"/>
        <w:rPr>
          <w:sz w:val="20"/>
          <w:szCs w:val="20"/>
          <w:color w:val="auto"/>
        </w:rPr>
      </w:pPr>
      <w:r>
        <w:rPr>
          <w:rFonts w:ascii="Arial" w:cs="Arial" w:eastAsia="Arial" w:hAnsi="Arial"/>
          <w:sz w:val="18"/>
          <w:szCs w:val="18"/>
          <w:color w:val="auto"/>
        </w:rPr>
        <w:t>We reviewed and discussed the audited consolidated financial statements for the year ended December 31, 2025 with management and the independent registered public accounting firm.</w:t>
      </w:r>
    </w:p>
    <w:p>
      <w:pPr>
        <w:spacing w:after="0" w:line="45"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We discussed with the independent registered public accounting firm the matters required to be discussed by the rules of the Public Company Accounting Oversight Board (PCAOB) regarding communications with audit committees. In addition, we have discussed with the independent registered public accounting firm its independence from our company and our company’s management, including the matters in the written disclosures and letter which we received from the independent registered public accounting firm under applicable requirements of the PCAOB. We also considered whether the independent registered public accounting firm’s performance of non-audit services for our company is compatible with the auditors’ independence, and concluded that the performance of such non-audit services did not impair the auditors’ independence.</w:t>
      </w:r>
    </w:p>
    <w:p>
      <w:pPr>
        <w:spacing w:after="0" w:line="77" w:lineRule="exact"/>
        <w:rPr>
          <w:sz w:val="20"/>
          <w:szCs w:val="20"/>
          <w:color w:val="auto"/>
        </w:rPr>
      </w:pPr>
    </w:p>
    <w:p>
      <w:pPr>
        <w:jc w:val="both"/>
        <w:ind w:left="700"/>
        <w:spacing w:after="0" w:line="262" w:lineRule="auto"/>
        <w:rPr>
          <w:sz w:val="20"/>
          <w:szCs w:val="20"/>
          <w:color w:val="auto"/>
        </w:rPr>
      </w:pPr>
      <w:r>
        <w:rPr>
          <w:rFonts w:ascii="Arial" w:cs="Arial" w:eastAsia="Arial" w:hAnsi="Arial"/>
          <w:sz w:val="18"/>
          <w:szCs w:val="18"/>
          <w:color w:val="auto"/>
        </w:rPr>
        <w:t>Based on our review and these meetings, discussions and reports, and subject to the limitations on our role and responsibilities referred to above and in the audit committee charter, we recommended to the board of directors that our company’s audited consolidated financial statements for the year ended December 31, 2025 be included in our company’s annual report on Form 10-K for that year.</w:t>
      </w:r>
    </w:p>
    <w:p>
      <w:pPr>
        <w:spacing w:after="0" w:line="39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Audit Committee</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B. Kagan (Chair)</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M. Tolley</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Joseph Spytek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1060" w:hanging="352"/>
        <w:spacing w:after="0" w:line="293" w:lineRule="auto"/>
        <w:tabs>
          <w:tab w:leader="none" w:pos="1060" w:val="left"/>
        </w:tabs>
        <w:numPr>
          <w:ilvl w:val="0"/>
          <w:numId w:val="49"/>
        </w:numPr>
        <w:rPr>
          <w:rFonts w:ascii="Arial" w:cs="Arial" w:eastAsia="Arial" w:hAnsi="Arial"/>
          <w:sz w:val="14"/>
          <w:szCs w:val="14"/>
          <w:color w:val="395796"/>
        </w:rPr>
      </w:pPr>
      <w:r>
        <w:rPr>
          <w:rFonts w:ascii="Arial" w:cs="Arial" w:eastAsia="Arial" w:hAnsi="Arial"/>
          <w:sz w:val="14"/>
          <w:szCs w:val="14"/>
          <w:color w:val="auto"/>
        </w:rPr>
        <w:t>The material in this report is not soliciting material, is not deemed filed with the SEC and is not incorporated by reference in any of our filings under the Securities Act of 1933, as amended, or the Securities Exchange Act of 1934, as amended, whether made on, before, or after the date of this proxy statement and irrespective of any general incorporation language in such filing.</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395796"/>
        </w:rPr>
        <w:t xml:space="preserve">KVH Industries, Inc. 2026 Proxy Statement  </w:t>
      </w:r>
      <w:r>
        <w:rPr>
          <w:rFonts w:ascii="Arial" w:cs="Arial" w:eastAsia="Arial" w:hAnsi="Arial"/>
          <w:sz w:val="18"/>
          <w:szCs w:val="18"/>
          <w:color w:val="000000"/>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386080</wp:posOffset>
            </wp:positionV>
            <wp:extent cx="102870" cy="3251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32512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386080</wp:posOffset>
            </wp:positionV>
            <wp:extent cx="102235" cy="3251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235" cy="325120"/>
                    </a:xfrm>
                    <a:prstGeom prst="rect">
                      <a:avLst/>
                    </a:prstGeom>
                    <a:noFill/>
                  </pic:spPr>
                </pic:pic>
              </a:graphicData>
            </a:graphic>
          </wp:anchor>
        </w:drawing>
      </w:r>
    </w:p>
    <w:p>
      <w:pPr>
        <w:spacing w:after="0" w:line="311" w:lineRule="exact"/>
        <w:rPr>
          <w:sz w:val="20"/>
          <w:szCs w:val="20"/>
          <w:color w:val="auto"/>
        </w:rPr>
      </w:pPr>
    </w:p>
    <w:tbl>
      <w:tblPr>
        <w:tblLayout w:type="fixed"/>
        <w:tblInd w:w="700" w:type="dxa"/>
        <w:tblCellMar>
          <w:top w:w="0" w:type="dxa"/>
          <w:left w:w="0" w:type="dxa"/>
          <w:bottom w:w="0" w:type="dxa"/>
          <w:right w:w="0" w:type="dxa"/>
        </w:tblCellMar>
      </w:tblPr>
      <w:tr>
        <w:trPr>
          <w:trHeight w:val="368"/>
        </w:trPr>
        <w:tc>
          <w:tcPr>
            <w:tcW w:w="120" w:type="dxa"/>
            <w:vAlign w:val="bottom"/>
          </w:tcPr>
          <w:p>
            <w:pPr>
              <w:spacing w:after="0"/>
              <w:rPr>
                <w:sz w:val="20"/>
                <w:szCs w:val="20"/>
                <w:color w:val="auto"/>
              </w:rPr>
            </w:pPr>
            <w:r>
              <w:rPr>
                <w:rFonts w:ascii="Arial" w:cs="Arial" w:eastAsia="Arial" w:hAnsi="Arial"/>
                <w:sz w:val="32"/>
                <w:szCs w:val="32"/>
                <w:b w:val="1"/>
                <w:bCs w:val="1"/>
                <w:color w:val="FFFFFF"/>
              </w:rPr>
              <w:t>​</w:t>
            </w:r>
          </w:p>
        </w:tc>
        <w:tc>
          <w:tcPr>
            <w:tcW w:w="9060" w:type="dxa"/>
            <w:vAlign w:val="bottom"/>
            <w:shd w:val="clear" w:color="auto" w:fill="395796"/>
          </w:tcPr>
          <w:p>
            <w:pPr>
              <w:ind w:left="7380"/>
              <w:spacing w:after="0"/>
              <w:rPr>
                <w:sz w:val="20"/>
                <w:szCs w:val="20"/>
                <w:color w:val="auto"/>
              </w:rPr>
            </w:pPr>
            <w:r>
              <w:rPr>
                <w:rFonts w:ascii="Arial" w:cs="Arial" w:eastAsia="Arial" w:hAnsi="Arial"/>
                <w:sz w:val="18"/>
                <w:szCs w:val="18"/>
                <w:color w:val="FFFFFF"/>
              </w:rPr>
              <w:t>​</w:t>
            </w:r>
          </w:p>
        </w:tc>
        <w:tc>
          <w:tcPr>
            <w:tcW w:w="80" w:type="dxa"/>
            <w:vAlign w:val="bottom"/>
          </w:tcPr>
          <w:p>
            <w:pPr>
              <w:spacing w:after="0"/>
              <w:rPr>
                <w:sz w:val="20"/>
                <w:szCs w:val="20"/>
                <w:color w:val="auto"/>
              </w:rPr>
            </w:pPr>
            <w:r>
              <w:rPr>
                <w:rFonts w:ascii="Arial" w:cs="Arial" w:eastAsia="Arial" w:hAnsi="Arial"/>
                <w:sz w:val="32"/>
                <w:szCs w:val="32"/>
                <w:b w:val="1"/>
                <w:bCs w:val="1"/>
                <w:color w:val="FFFFFF"/>
              </w:rPr>
              <w:t>​</w:t>
            </w:r>
          </w:p>
        </w:tc>
      </w:tr>
      <w:tr>
        <w:trPr>
          <w:trHeight w:val="401"/>
        </w:trPr>
        <w:tc>
          <w:tcPr>
            <w:tcW w:w="120" w:type="dxa"/>
            <w:vAlign w:val="bottom"/>
          </w:tcPr>
          <w:p>
            <w:pPr>
              <w:spacing w:after="0"/>
              <w:rPr>
                <w:sz w:val="24"/>
                <w:szCs w:val="24"/>
                <w:color w:val="auto"/>
              </w:rPr>
            </w:pPr>
          </w:p>
        </w:tc>
        <w:tc>
          <w:tcPr>
            <w:tcW w:w="9060" w:type="dxa"/>
            <w:vAlign w:val="bottom"/>
            <w:shd w:val="clear" w:color="auto" w:fill="395796"/>
          </w:tcPr>
          <w:p>
            <w:pPr>
              <w:spacing w:after="0"/>
              <w:rPr>
                <w:sz w:val="20"/>
                <w:szCs w:val="20"/>
                <w:color w:val="auto"/>
              </w:rPr>
            </w:pPr>
            <w:r>
              <w:rPr>
                <w:rFonts w:ascii="Arial" w:cs="Arial" w:eastAsia="Arial" w:hAnsi="Arial"/>
                <w:sz w:val="32"/>
                <w:szCs w:val="32"/>
                <w:b w:val="1"/>
                <w:bCs w:val="1"/>
                <w:color w:val="FFFFFF"/>
              </w:rPr>
              <w:t>PRINCIPAL ACCOUNTANT FEES AND SERVICES</w:t>
            </w:r>
          </w:p>
        </w:tc>
        <w:tc>
          <w:tcPr>
            <w:tcW w:w="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119"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We expect that representatives of Grant Thornton LLP, our independent registered public accounting firm, will be present at the annual meeting. They will have an opportunity to make a statement if they wish and, if present, will be available to respond to appropriate questions from stockholders.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both"/>
        <w:ind w:left="351" w:right="20"/>
        <w:spacing w:after="0" w:line="251" w:lineRule="auto"/>
        <w:rPr>
          <w:sz w:val="20"/>
          <w:szCs w:val="20"/>
          <w:color w:val="auto"/>
        </w:rPr>
      </w:pPr>
      <w:r>
        <w:rPr>
          <w:rFonts w:ascii="Arial" w:cs="Arial" w:eastAsia="Arial" w:hAnsi="Arial"/>
          <w:sz w:val="14"/>
          <w:szCs w:val="14"/>
          <w:color w:val="auto"/>
        </w:rPr>
        <w:t>consolidated financial statements, including compliance with Section 404 of the Sarbanes-Oxley Act of 2002, review of the interim condensed consolidated financial statements included in quarterly reports and the statutory audit of our Denmark location.</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jc w:val="both"/>
        <w:ind w:left="351" w:hanging="351"/>
        <w:spacing w:after="0" w:line="278" w:lineRule="auto"/>
        <w:tabs>
          <w:tab w:leader="none" w:pos="351" w:val="left"/>
        </w:tabs>
        <w:numPr>
          <w:ilvl w:val="0"/>
          <w:numId w:val="50"/>
        </w:numPr>
        <w:rPr>
          <w:rFonts w:ascii="Arial" w:cs="Arial" w:eastAsia="Arial" w:hAnsi="Arial"/>
          <w:sz w:val="14"/>
          <w:szCs w:val="14"/>
          <w:color w:val="395796"/>
        </w:rPr>
      </w:pPr>
      <w:r>
        <w:rPr>
          <w:rFonts w:ascii="Arial" w:cs="Arial" w:eastAsia="Arial" w:hAnsi="Arial"/>
          <w:sz w:val="14"/>
          <w:szCs w:val="14"/>
          <w:color w:val="auto"/>
        </w:rPr>
        <w:t>For 2025, the tax fees consisted of amounts billed for professional services rendered in connection with indirect tax advice relating to the consequences of relocating all local inventory holdings to our US company.</w:t>
      </w:r>
    </w:p>
    <w:p>
      <w:pPr>
        <w:spacing w:after="0" w:line="1" w:lineRule="exact"/>
        <w:rPr>
          <w:sz w:val="20"/>
          <w:szCs w:val="20"/>
          <w:color w:val="auto"/>
        </w:rPr>
      </w:pPr>
    </w:p>
    <w:p>
      <w:pPr>
        <w:sectPr>
          <w:pgSz w:w="11900" w:h="16838" w:orient="portrait"/>
          <w:cols w:equalWidth="0" w:num="2">
            <w:col w:w="5260" w:space="209"/>
            <w:col w:w="4551"/>
          </w:cols>
          <w:pgMar w:left="580" w:top="97" w:right="1299" w:bottom="1440" w:gutter="0" w:footer="0" w:header="0"/>
          <w:type w:val="continuous"/>
        </w:sectPr>
      </w:pPr>
    </w:p>
    <w:tbl>
      <w:tblPr>
        <w:tblLayout w:type="fixed"/>
        <w:tblInd w:w="700" w:type="dxa"/>
        <w:tblCellMar>
          <w:top w:w="0" w:type="dxa"/>
          <w:left w:w="0" w:type="dxa"/>
          <w:bottom w:w="0" w:type="dxa"/>
          <w:right w:w="0" w:type="dxa"/>
        </w:tblCellMar>
      </w:tblPr>
      <w:tr>
        <w:trPr>
          <w:trHeight w:val="240"/>
        </w:trPr>
        <w:tc>
          <w:tcPr>
            <w:tcW w:w="4020" w:type="dxa"/>
            <w:vAlign w:val="bottom"/>
            <w:gridSpan w:val="5"/>
          </w:tcPr>
          <w:p>
            <w:pPr>
              <w:spacing w:after="0" w:line="240" w:lineRule="exact"/>
              <w:rPr>
                <w:sz w:val="20"/>
                <w:szCs w:val="20"/>
                <w:color w:val="auto"/>
              </w:rPr>
            </w:pPr>
            <w:r>
              <w:rPr>
                <w:rFonts w:ascii="Arial" w:cs="Arial" w:eastAsia="Arial" w:hAnsi="Arial"/>
                <w:sz w:val="27"/>
                <w:szCs w:val="27"/>
                <w:b w:val="1"/>
                <w:bCs w:val="1"/>
                <w:color w:val="395796"/>
              </w:rPr>
              <w:t>Fees for Professional Services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20" w:type="dxa"/>
            <w:vAlign w:val="bottom"/>
            <w:gridSpan w:val="4"/>
            <w:vMerge w:val="restart"/>
          </w:tcPr>
          <w:p>
            <w:pPr>
              <w:ind w:left="80"/>
              <w:spacing w:after="0"/>
              <w:rPr>
                <w:sz w:val="20"/>
                <w:szCs w:val="20"/>
                <w:color w:val="auto"/>
              </w:rPr>
            </w:pPr>
            <w:r>
              <w:rPr>
                <w:rFonts w:ascii="Arial" w:cs="Arial" w:eastAsia="Arial" w:hAnsi="Arial"/>
                <w:sz w:val="18"/>
                <w:szCs w:val="18"/>
                <w:color w:val="auto"/>
              </w:rPr>
              <w:t>We did not engage Grant Thornton LLP to provide any</w:t>
            </w:r>
          </w:p>
        </w:tc>
        <w:tc>
          <w:tcPr>
            <w:tcW w:w="0" w:type="dxa"/>
            <w:vAlign w:val="bottom"/>
          </w:tcPr>
          <w:p>
            <w:pPr>
              <w:spacing w:after="0"/>
              <w:rPr>
                <w:sz w:val="1"/>
                <w:szCs w:val="1"/>
                <w:color w:val="auto"/>
              </w:rPr>
            </w:pPr>
          </w:p>
        </w:tc>
      </w:tr>
      <w:tr>
        <w:trPr>
          <w:trHeight w:val="35"/>
        </w:trPr>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4540" w:type="dxa"/>
            <w:vAlign w:val="bottom"/>
            <w:gridSpan w:val="6"/>
            <w:vMerge w:val="restart"/>
          </w:tcPr>
          <w:p>
            <w:pPr>
              <w:spacing w:after="0"/>
              <w:rPr>
                <w:sz w:val="20"/>
                <w:szCs w:val="20"/>
                <w:color w:val="auto"/>
              </w:rPr>
            </w:pPr>
            <w:r>
              <w:rPr>
                <w:rFonts w:ascii="Arial" w:cs="Arial" w:eastAsia="Arial" w:hAnsi="Arial"/>
                <w:sz w:val="18"/>
                <w:szCs w:val="18"/>
                <w:color w:val="auto"/>
              </w:rPr>
              <w:t>The following table provides a summary of the fees for</w:t>
            </w:r>
          </w:p>
        </w:tc>
        <w:tc>
          <w:tcPr>
            <w:tcW w:w="140" w:type="dxa"/>
            <w:vAlign w:val="bottom"/>
          </w:tcPr>
          <w:p>
            <w:pPr>
              <w:spacing w:after="0"/>
              <w:rPr>
                <w:sz w:val="20"/>
                <w:szCs w:val="20"/>
                <w:color w:val="auto"/>
              </w:rPr>
            </w:pPr>
          </w:p>
        </w:tc>
        <w:tc>
          <w:tcPr>
            <w:tcW w:w="4340" w:type="dxa"/>
            <w:vAlign w:val="bottom"/>
            <w:gridSpan w:val="3"/>
          </w:tcPr>
          <w:p>
            <w:pPr>
              <w:ind w:left="80"/>
              <w:spacing w:after="0"/>
              <w:rPr>
                <w:sz w:val="20"/>
                <w:szCs w:val="20"/>
                <w:color w:val="auto"/>
              </w:rPr>
            </w:pPr>
            <w:r>
              <w:rPr>
                <w:rFonts w:ascii="Arial" w:cs="Arial" w:eastAsia="Arial" w:hAnsi="Arial"/>
                <w:sz w:val="18"/>
                <w:szCs w:val="18"/>
                <w:color w:val="auto"/>
                <w:w w:val="99"/>
              </w:rPr>
              <w:t>other services during or with respect to 2025 or 2024.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54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gridSpan w:val="2"/>
            <w:vMerge w:val="restart"/>
          </w:tcPr>
          <w:p>
            <w:pPr>
              <w:ind w:left="80"/>
              <w:spacing w:after="0"/>
              <w:rPr>
                <w:sz w:val="20"/>
                <w:szCs w:val="20"/>
                <w:color w:val="auto"/>
              </w:rPr>
            </w:pPr>
            <w:r>
              <w:rPr>
                <w:rFonts w:ascii="Arial" w:cs="Arial" w:eastAsia="Arial" w:hAnsi="Arial"/>
                <w:sz w:val="29"/>
                <w:szCs w:val="29"/>
                <w:b w:val="1"/>
                <w:bCs w:val="1"/>
                <w:color w:val="395796"/>
                <w:w w:val="94"/>
              </w:rPr>
              <w:t>Pre-Approval Policies and</w:t>
            </w: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4680" w:type="dxa"/>
            <w:vAlign w:val="bottom"/>
            <w:gridSpan w:val="7"/>
          </w:tcPr>
          <w:p>
            <w:pPr>
              <w:spacing w:after="0"/>
              <w:rPr>
                <w:sz w:val="20"/>
                <w:szCs w:val="20"/>
                <w:color w:val="auto"/>
              </w:rPr>
            </w:pPr>
            <w:r>
              <w:rPr>
                <w:rFonts w:ascii="Arial" w:cs="Arial" w:eastAsia="Arial" w:hAnsi="Arial"/>
                <w:sz w:val="18"/>
                <w:szCs w:val="18"/>
                <w:color w:val="auto"/>
              </w:rPr>
              <w:t>professional services rendered by Grant Thornton LLP for</w:t>
            </w:r>
          </w:p>
        </w:tc>
        <w:tc>
          <w:tcPr>
            <w:tcW w:w="3480" w:type="dxa"/>
            <w:vAlign w:val="bottom"/>
            <w:gridSpan w:val="2"/>
            <w:vMerge w:val="continue"/>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540" w:type="dxa"/>
            <w:vAlign w:val="bottom"/>
            <w:gridSpan w:val="2"/>
          </w:tcPr>
          <w:p>
            <w:pPr>
              <w:spacing w:after="0"/>
              <w:rPr>
                <w:sz w:val="20"/>
                <w:szCs w:val="20"/>
                <w:color w:val="auto"/>
              </w:rPr>
            </w:pPr>
            <w:r>
              <w:rPr>
                <w:rFonts w:ascii="Arial" w:cs="Arial" w:eastAsia="Arial" w:hAnsi="Arial"/>
                <w:sz w:val="18"/>
                <w:szCs w:val="18"/>
                <w:color w:val="auto"/>
              </w:rPr>
              <w:t>2025 and 2024.</w:t>
            </w: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gridSpan w:val="2"/>
            <w:vMerge w:val="restart"/>
          </w:tcPr>
          <w:p>
            <w:pPr>
              <w:ind w:left="80"/>
              <w:spacing w:after="0"/>
              <w:rPr>
                <w:sz w:val="20"/>
                <w:szCs w:val="20"/>
                <w:color w:val="auto"/>
              </w:rPr>
            </w:pPr>
            <w:r>
              <w:rPr>
                <w:rFonts w:ascii="Arial" w:cs="Arial" w:eastAsia="Arial" w:hAnsi="Arial"/>
                <w:sz w:val="29"/>
                <w:szCs w:val="29"/>
                <w:b w:val="1"/>
                <w:bCs w:val="1"/>
                <w:color w:val="395796"/>
              </w:rPr>
              <w:t>Procedures</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8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395796"/>
          </w:tcPr>
          <w:p>
            <w:pPr>
              <w:spacing w:after="0"/>
              <w:rPr>
                <w:sz w:val="20"/>
                <w:szCs w:val="20"/>
                <w:color w:val="auto"/>
              </w:rPr>
            </w:pPr>
            <w:r>
              <w:rPr>
                <w:rFonts w:ascii="Arial" w:cs="Arial" w:eastAsia="Arial" w:hAnsi="Arial"/>
                <w:sz w:val="14"/>
                <w:szCs w:val="14"/>
                <w:b w:val="1"/>
                <w:bCs w:val="1"/>
                <w:color w:val="FFFFFF"/>
              </w:rPr>
              <w:t>​​</w:t>
            </w:r>
          </w:p>
        </w:tc>
        <w:tc>
          <w:tcPr>
            <w:tcW w:w="360" w:type="dxa"/>
            <w:vAlign w:val="bottom"/>
            <w:shd w:val="clear" w:color="auto" w:fill="395796"/>
          </w:tcPr>
          <w:p>
            <w:pPr>
              <w:spacing w:after="0"/>
              <w:rPr>
                <w:sz w:val="20"/>
                <w:szCs w:val="20"/>
                <w:color w:val="auto"/>
              </w:rPr>
            </w:pPr>
            <w:r>
              <w:rPr>
                <w:rFonts w:ascii="Arial" w:cs="Arial" w:eastAsia="Arial" w:hAnsi="Arial"/>
                <w:sz w:val="14"/>
                <w:szCs w:val="14"/>
                <w:b w:val="1"/>
                <w:bCs w:val="1"/>
                <w:color w:val="FFFFFF"/>
              </w:rPr>
              <w:t>​ ​</w:t>
            </w:r>
          </w:p>
        </w:tc>
        <w:tc>
          <w:tcPr>
            <w:tcW w:w="1120" w:type="dxa"/>
            <w:vAlign w:val="bottom"/>
            <w:gridSpan w:val="2"/>
            <w:shd w:val="clear" w:color="auto" w:fill="395796"/>
          </w:tcPr>
          <w:p>
            <w:pPr>
              <w:ind w:left="580"/>
              <w:spacing w:after="0"/>
              <w:rPr>
                <w:sz w:val="20"/>
                <w:szCs w:val="20"/>
                <w:color w:val="auto"/>
              </w:rPr>
            </w:pPr>
            <w:r>
              <w:rPr>
                <w:rFonts w:ascii="Arial" w:cs="Arial" w:eastAsia="Arial" w:hAnsi="Arial"/>
                <w:sz w:val="14"/>
                <w:szCs w:val="14"/>
                <w:b w:val="1"/>
                <w:bCs w:val="1"/>
                <w:color w:val="FFFFFF"/>
              </w:rPr>
              <w:t>Fees</w:t>
            </w:r>
          </w:p>
        </w:tc>
        <w:tc>
          <w:tcPr>
            <w:tcW w:w="52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w:t>
            </w:r>
          </w:p>
        </w:tc>
        <w:tc>
          <w:tcPr>
            <w:tcW w:w="140" w:type="dxa"/>
            <w:vAlign w:val="bottom"/>
          </w:tcPr>
          <w:p>
            <w:pPr>
              <w:spacing w:after="0"/>
              <w:rPr>
                <w:sz w:val="19"/>
                <w:szCs w:val="19"/>
                <w:color w:val="auto"/>
              </w:rPr>
            </w:pPr>
          </w:p>
        </w:tc>
        <w:tc>
          <w:tcPr>
            <w:tcW w:w="4620" w:type="dxa"/>
            <w:vAlign w:val="bottom"/>
            <w:gridSpan w:val="4"/>
            <w:vMerge w:val="restart"/>
          </w:tcPr>
          <w:p>
            <w:pPr>
              <w:ind w:left="80"/>
              <w:spacing w:after="0"/>
              <w:rPr>
                <w:sz w:val="20"/>
                <w:szCs w:val="20"/>
                <w:color w:val="auto"/>
              </w:rPr>
            </w:pPr>
            <w:r>
              <w:rPr>
                <w:rFonts w:ascii="Arial" w:cs="Arial" w:eastAsia="Arial" w:hAnsi="Arial"/>
                <w:sz w:val="18"/>
                <w:szCs w:val="18"/>
                <w:color w:val="auto"/>
              </w:rPr>
              <w:t>Our  audit  committee  approves  each  engagement  for</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480" w:type="dxa"/>
            <w:vAlign w:val="bottom"/>
            <w:shd w:val="clear" w:color="auto" w:fill="395796"/>
          </w:tcPr>
          <w:p>
            <w:pPr>
              <w:spacing w:after="0"/>
              <w:rPr>
                <w:sz w:val="20"/>
                <w:szCs w:val="20"/>
                <w:color w:val="auto"/>
              </w:rPr>
            </w:pPr>
            <w:r>
              <w:rPr>
                <w:rFonts w:ascii="Arial" w:cs="Arial" w:eastAsia="Arial" w:hAnsi="Arial"/>
                <w:sz w:val="14"/>
                <w:szCs w:val="14"/>
                <w:b w:val="1"/>
                <w:bCs w:val="1"/>
                <w:color w:val="FFFFFF"/>
              </w:rPr>
              <w:t>Fee category</w:t>
            </w:r>
          </w:p>
        </w:tc>
        <w:tc>
          <w:tcPr>
            <w:tcW w:w="360" w:type="dxa"/>
            <w:vAlign w:val="bottom"/>
            <w:vMerge w:val="restart"/>
            <w:shd w:val="clear" w:color="auto" w:fill="395796"/>
          </w:tcPr>
          <w:p>
            <w:pPr>
              <w:ind w:left="120"/>
              <w:spacing w:after="0"/>
              <w:rPr>
                <w:sz w:val="20"/>
                <w:szCs w:val="20"/>
                <w:color w:val="auto"/>
              </w:rPr>
            </w:pPr>
            <w:r>
              <w:rPr>
                <w:rFonts w:ascii="Arial" w:cs="Arial" w:eastAsia="Arial" w:hAnsi="Arial"/>
                <w:sz w:val="14"/>
                <w:szCs w:val="14"/>
                <w:b w:val="1"/>
                <w:bCs w:val="1"/>
                <w:color w:val="FFFFFF"/>
              </w:rPr>
              <w:t>​ ​</w:t>
            </w:r>
          </w:p>
        </w:tc>
        <w:tc>
          <w:tcPr>
            <w:tcW w:w="66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2025</w:t>
            </w:r>
          </w:p>
        </w:tc>
        <w:tc>
          <w:tcPr>
            <w:tcW w:w="460" w:type="dxa"/>
            <w:vAlign w:val="bottom"/>
            <w:vMerge w:val="restart"/>
            <w:shd w:val="clear" w:color="auto" w:fill="395796"/>
          </w:tcPr>
          <w:p>
            <w:pPr>
              <w:ind w:left="60"/>
              <w:spacing w:after="0"/>
              <w:rPr>
                <w:sz w:val="20"/>
                <w:szCs w:val="20"/>
                <w:color w:val="auto"/>
              </w:rPr>
            </w:pPr>
            <w:r>
              <w:rPr>
                <w:rFonts w:ascii="Arial" w:cs="Arial" w:eastAsia="Arial" w:hAnsi="Arial"/>
                <w:sz w:val="14"/>
                <w:szCs w:val="14"/>
                <w:b w:val="1"/>
                <w:bCs w:val="1"/>
                <w:color w:val="FFFFFF"/>
              </w:rPr>
              <w:t>​ ​</w:t>
            </w:r>
          </w:p>
        </w:tc>
        <w:tc>
          <w:tcPr>
            <w:tcW w:w="520" w:type="dxa"/>
            <w:vAlign w:val="bottom"/>
            <w:shd w:val="clear" w:color="auto" w:fill="395796"/>
          </w:tcPr>
          <w:p>
            <w:pPr>
              <w:jc w:val="right"/>
              <w:spacing w:after="0"/>
              <w:rPr>
                <w:sz w:val="20"/>
                <w:szCs w:val="20"/>
                <w:color w:val="auto"/>
              </w:rPr>
            </w:pPr>
            <w:r>
              <w:rPr>
                <w:rFonts w:ascii="Arial" w:cs="Arial" w:eastAsia="Arial" w:hAnsi="Arial"/>
                <w:sz w:val="14"/>
                <w:szCs w:val="14"/>
                <w:b w:val="1"/>
                <w:bCs w:val="1"/>
                <w:color w:val="FFFFFF"/>
              </w:rPr>
              <w:t>2024</w:t>
            </w:r>
          </w:p>
        </w:tc>
        <w:tc>
          <w:tcPr>
            <w:tcW w:w="140" w:type="dxa"/>
            <w:vAlign w:val="bottom"/>
          </w:tcPr>
          <w:p>
            <w:pPr>
              <w:spacing w:after="0"/>
              <w:rPr>
                <w:sz w:val="16"/>
                <w:szCs w:val="16"/>
                <w:color w:val="auto"/>
              </w:rPr>
            </w:pPr>
          </w:p>
        </w:tc>
        <w:tc>
          <w:tcPr>
            <w:tcW w:w="46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2480" w:type="dxa"/>
            <w:vAlign w:val="bottom"/>
            <w:shd w:val="clear" w:color="auto" w:fill="395796"/>
          </w:tcPr>
          <w:p>
            <w:pPr>
              <w:spacing w:after="0" w:line="48" w:lineRule="exact"/>
              <w:rPr>
                <w:sz w:val="20"/>
                <w:szCs w:val="20"/>
                <w:color w:val="auto"/>
              </w:rPr>
            </w:pPr>
            <w:r>
              <w:rPr>
                <w:rFonts w:ascii="Arial" w:cs="Arial" w:eastAsia="Arial" w:hAnsi="Arial"/>
                <w:sz w:val="5"/>
                <w:szCs w:val="5"/>
                <w:b w:val="1"/>
                <w:bCs w:val="1"/>
                <w:color w:val="FFFFFF"/>
              </w:rPr>
              <w:t>​</w:t>
            </w:r>
          </w:p>
        </w:tc>
        <w:tc>
          <w:tcPr>
            <w:tcW w:w="360" w:type="dxa"/>
            <w:vAlign w:val="bottom"/>
            <w:vMerge w:val="continue"/>
            <w:shd w:val="clear" w:color="auto" w:fill="395796"/>
          </w:tcPr>
          <w:p>
            <w:pPr>
              <w:spacing w:after="0"/>
              <w:rPr>
                <w:sz w:val="5"/>
                <w:szCs w:val="5"/>
                <w:color w:val="auto"/>
              </w:rPr>
            </w:pPr>
          </w:p>
        </w:tc>
        <w:tc>
          <w:tcPr>
            <w:tcW w:w="660" w:type="dxa"/>
            <w:vAlign w:val="bottom"/>
            <w:shd w:val="clear" w:color="auto" w:fill="395796"/>
          </w:tcPr>
          <w:p>
            <w:pPr>
              <w:spacing w:after="0"/>
              <w:rPr>
                <w:sz w:val="5"/>
                <w:szCs w:val="5"/>
                <w:color w:val="auto"/>
              </w:rPr>
            </w:pPr>
          </w:p>
        </w:tc>
        <w:tc>
          <w:tcPr>
            <w:tcW w:w="460" w:type="dxa"/>
            <w:vAlign w:val="bottom"/>
            <w:vMerge w:val="continue"/>
            <w:shd w:val="clear" w:color="auto" w:fill="395796"/>
          </w:tcPr>
          <w:p>
            <w:pPr>
              <w:spacing w:after="0"/>
              <w:rPr>
                <w:sz w:val="5"/>
                <w:szCs w:val="5"/>
                <w:color w:val="auto"/>
              </w:rPr>
            </w:pPr>
          </w:p>
        </w:tc>
        <w:tc>
          <w:tcPr>
            <w:tcW w:w="520" w:type="dxa"/>
            <w:vAlign w:val="bottom"/>
            <w:shd w:val="clear" w:color="auto" w:fill="395796"/>
          </w:tcPr>
          <w:p>
            <w:pPr>
              <w:spacing w:after="0"/>
              <w:rPr>
                <w:sz w:val="5"/>
                <w:szCs w:val="5"/>
                <w:color w:val="auto"/>
              </w:rPr>
            </w:pPr>
          </w:p>
        </w:tc>
        <w:tc>
          <w:tcPr>
            <w:tcW w:w="140" w:type="dxa"/>
            <w:vAlign w:val="bottom"/>
            <w:vMerge w:val="restart"/>
          </w:tcPr>
          <w:p>
            <w:pPr>
              <w:jc w:val="right"/>
              <w:ind w:right="19"/>
              <w:spacing w:after="0" w:line="116" w:lineRule="exact"/>
              <w:rPr>
                <w:sz w:val="20"/>
                <w:szCs w:val="20"/>
                <w:color w:val="auto"/>
              </w:rPr>
            </w:pPr>
            <w:r>
              <w:rPr>
                <w:rFonts w:ascii="Arial" w:cs="Arial" w:eastAsia="Arial" w:hAnsi="Arial"/>
                <w:sz w:val="13"/>
                <w:szCs w:val="13"/>
                <w:b w:val="1"/>
                <w:bCs w:val="1"/>
                <w:color w:val="FFFFFF"/>
              </w:rPr>
              <w:t>​</w:t>
            </w:r>
          </w:p>
        </w:tc>
        <w:tc>
          <w:tcPr>
            <w:tcW w:w="720" w:type="dxa"/>
            <w:vAlign w:val="bottom"/>
            <w:vMerge w:val="restart"/>
          </w:tcPr>
          <w:p>
            <w:pPr>
              <w:ind w:left="80"/>
              <w:spacing w:after="0" w:line="116" w:lineRule="exact"/>
              <w:rPr>
                <w:sz w:val="20"/>
                <w:szCs w:val="20"/>
                <w:color w:val="auto"/>
              </w:rPr>
            </w:pPr>
            <w:r>
              <w:rPr>
                <w:rFonts w:ascii="Arial" w:cs="Arial" w:eastAsia="Arial" w:hAnsi="Arial"/>
                <w:sz w:val="13"/>
                <w:szCs w:val="13"/>
                <w:color w:val="auto"/>
              </w:rPr>
              <w:t>auditor</w:t>
            </w:r>
          </w:p>
        </w:tc>
        <w:tc>
          <w:tcPr>
            <w:tcW w:w="2760" w:type="dxa"/>
            <w:vAlign w:val="bottom"/>
            <w:vMerge w:val="restart"/>
          </w:tcPr>
          <w:p>
            <w:pPr>
              <w:ind w:left="80"/>
              <w:spacing w:after="0" w:line="116" w:lineRule="exact"/>
              <w:rPr>
                <w:sz w:val="20"/>
                <w:szCs w:val="20"/>
                <w:color w:val="auto"/>
              </w:rPr>
            </w:pPr>
            <w:r>
              <w:rPr>
                <w:rFonts w:ascii="Arial" w:cs="Arial" w:eastAsia="Arial" w:hAnsi="Arial"/>
                <w:sz w:val="13"/>
                <w:szCs w:val="13"/>
                <w:color w:val="auto"/>
              </w:rPr>
              <w:t>non-audit  services  before  we</w:t>
            </w:r>
          </w:p>
        </w:tc>
        <w:tc>
          <w:tcPr>
            <w:tcW w:w="860" w:type="dxa"/>
            <w:vAlign w:val="bottom"/>
            <w:vMerge w:val="restart"/>
          </w:tcPr>
          <w:p>
            <w:pPr>
              <w:jc w:val="center"/>
              <w:spacing w:after="0" w:line="116" w:lineRule="exact"/>
              <w:rPr>
                <w:sz w:val="20"/>
                <w:szCs w:val="20"/>
                <w:color w:val="auto"/>
              </w:rPr>
            </w:pPr>
            <w:r>
              <w:rPr>
                <w:rFonts w:ascii="Arial" w:cs="Arial" w:eastAsia="Arial" w:hAnsi="Arial"/>
                <w:sz w:val="13"/>
                <w:szCs w:val="13"/>
                <w:color w:val="auto"/>
              </w:rPr>
              <w:t>engage</w:t>
            </w:r>
          </w:p>
        </w:tc>
        <w:tc>
          <w:tcPr>
            <w:tcW w:w="280" w:type="dxa"/>
            <w:vAlign w:val="bottom"/>
            <w:vMerge w:val="restart"/>
          </w:tcPr>
          <w:p>
            <w:pPr>
              <w:jc w:val="right"/>
              <w:spacing w:after="0" w:line="116" w:lineRule="exact"/>
              <w:rPr>
                <w:sz w:val="20"/>
                <w:szCs w:val="20"/>
                <w:color w:val="auto"/>
              </w:rPr>
            </w:pPr>
            <w:r>
              <w:rPr>
                <w:rFonts w:ascii="Arial" w:cs="Arial" w:eastAsia="Arial" w:hAnsi="Arial"/>
                <w:sz w:val="13"/>
                <w:szCs w:val="13"/>
                <w:color w:val="auto"/>
              </w:rPr>
              <w:t>our</w:t>
            </w:r>
          </w:p>
        </w:tc>
        <w:tc>
          <w:tcPr>
            <w:tcW w:w="0" w:type="dxa"/>
            <w:vAlign w:val="bottom"/>
          </w:tcPr>
          <w:p>
            <w:pPr>
              <w:spacing w:after="0"/>
              <w:rPr>
                <w:sz w:val="1"/>
                <w:szCs w:val="1"/>
                <w:color w:val="auto"/>
              </w:rPr>
            </w:pPr>
          </w:p>
        </w:tc>
      </w:tr>
      <w:tr>
        <w:trPr>
          <w:trHeight w:val="49"/>
        </w:trPr>
        <w:tc>
          <w:tcPr>
            <w:tcW w:w="60" w:type="dxa"/>
            <w:vAlign w:val="bottom"/>
          </w:tcPr>
          <w:p>
            <w:pPr>
              <w:spacing w:after="0"/>
              <w:rPr>
                <w:sz w:val="4"/>
                <w:szCs w:val="4"/>
                <w:color w:val="auto"/>
              </w:rPr>
            </w:pPr>
          </w:p>
        </w:tc>
        <w:tc>
          <w:tcPr>
            <w:tcW w:w="2480" w:type="dxa"/>
            <w:vAlign w:val="bottom"/>
            <w:vMerge w:val="restart"/>
          </w:tcPr>
          <w:p>
            <w:pPr>
              <w:spacing w:after="0" w:line="202"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7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2480" w:type="dxa"/>
            <w:vAlign w:val="bottom"/>
            <w:vMerge w:val="continue"/>
          </w:tcPr>
          <w:p>
            <w:pPr>
              <w:spacing w:after="0"/>
              <w:rPr>
                <w:sz w:val="13"/>
                <w:szCs w:val="13"/>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 ​$723,301</w:t>
            </w:r>
          </w:p>
        </w:tc>
        <w:tc>
          <w:tcPr>
            <w:tcW w:w="1120" w:type="dxa"/>
            <w:vAlign w:val="bottom"/>
            <w:gridSpan w:val="3"/>
            <w:vMerge w:val="restart"/>
          </w:tcPr>
          <w:p>
            <w:pPr>
              <w:ind w:left="60"/>
              <w:spacing w:after="0"/>
              <w:rPr>
                <w:sz w:val="20"/>
                <w:szCs w:val="20"/>
                <w:color w:val="auto"/>
              </w:rPr>
            </w:pPr>
            <w:r>
              <w:rPr>
                <w:rFonts w:ascii="Arial" w:cs="Arial" w:eastAsia="Arial" w:hAnsi="Arial"/>
                <w:sz w:val="18"/>
                <w:szCs w:val="18"/>
                <w:color w:val="auto"/>
              </w:rPr>
              <w:t>​ ​$753,466 ​</w:t>
            </w:r>
          </w:p>
        </w:tc>
        <w:tc>
          <w:tcPr>
            <w:tcW w:w="4620" w:type="dxa"/>
            <w:vAlign w:val="bottom"/>
            <w:gridSpan w:val="4"/>
            <w:vMerge w:val="restart"/>
          </w:tcPr>
          <w:p>
            <w:pPr>
              <w:ind w:left="80"/>
              <w:spacing w:after="0"/>
              <w:rPr>
                <w:sz w:val="20"/>
                <w:szCs w:val="20"/>
                <w:color w:val="auto"/>
              </w:rPr>
            </w:pPr>
            <w:r>
              <w:rPr>
                <w:rFonts w:ascii="Arial" w:cs="Arial" w:eastAsia="Arial" w:hAnsi="Arial"/>
                <w:sz w:val="18"/>
                <w:szCs w:val="18"/>
                <w:color w:val="auto"/>
              </w:rPr>
              <w:t>independent registered public accounting firm to provide</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2480" w:type="dxa"/>
            <w:vAlign w:val="bottom"/>
          </w:tcPr>
          <w:p>
            <w:pPr>
              <w:spacing w:after="0" w:line="81" w:lineRule="exact"/>
              <w:rPr>
                <w:sz w:val="20"/>
                <w:szCs w:val="20"/>
                <w:color w:val="auto"/>
              </w:rPr>
            </w:pPr>
            <w:r>
              <w:rPr>
                <w:rFonts w:ascii="Arial" w:cs="Arial" w:eastAsia="Arial" w:hAnsi="Arial"/>
                <w:sz w:val="9"/>
                <w:szCs w:val="9"/>
                <w:color w:val="auto"/>
              </w:rPr>
              <w:t>​</w:t>
            </w:r>
          </w:p>
        </w:tc>
        <w:tc>
          <w:tcPr>
            <w:tcW w:w="1020" w:type="dxa"/>
            <w:vAlign w:val="bottom"/>
            <w:gridSpan w:val="2"/>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46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D8D8D8"/>
          </w:tcPr>
          <w:p>
            <w:pPr>
              <w:spacing w:after="0"/>
              <w:rPr>
                <w:sz w:val="17"/>
                <w:szCs w:val="17"/>
                <w:color w:val="auto"/>
              </w:rPr>
            </w:pPr>
          </w:p>
        </w:tc>
        <w:tc>
          <w:tcPr>
            <w:tcW w:w="24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Audit-related fees</w:t>
            </w:r>
          </w:p>
        </w:tc>
        <w:tc>
          <w:tcPr>
            <w:tcW w:w="360" w:type="dxa"/>
            <w:vAlign w:val="bottom"/>
            <w:vMerge w:val="restart"/>
            <w:shd w:val="clear" w:color="auto" w:fill="D8D8D8"/>
          </w:tcPr>
          <w:p>
            <w:pPr>
              <w:ind w:left="120"/>
              <w:spacing w:after="0"/>
              <w:rPr>
                <w:sz w:val="20"/>
                <w:szCs w:val="20"/>
                <w:color w:val="auto"/>
              </w:rPr>
            </w:pPr>
            <w:r>
              <w:rPr>
                <w:rFonts w:ascii="Arial" w:cs="Arial" w:eastAsia="Arial" w:hAnsi="Arial"/>
                <w:sz w:val="18"/>
                <w:szCs w:val="18"/>
                <w:color w:val="auto"/>
              </w:rPr>
              <w:t>​ ​</w:t>
            </w:r>
          </w:p>
        </w:tc>
        <w:tc>
          <w:tcPr>
            <w:tcW w:w="66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D8D8D8"/>
          </w:tcPr>
          <w:p>
            <w:pPr>
              <w:ind w:left="60"/>
              <w:spacing w:after="0"/>
              <w:rPr>
                <w:sz w:val="20"/>
                <w:szCs w:val="20"/>
                <w:color w:val="auto"/>
              </w:rPr>
            </w:pPr>
            <w:r>
              <w:rPr>
                <w:rFonts w:ascii="Arial" w:cs="Arial" w:eastAsia="Arial" w:hAnsi="Arial"/>
                <w:sz w:val="18"/>
                <w:szCs w:val="18"/>
                <w:color w:val="auto"/>
              </w:rPr>
              <w:t>​ ​</w:t>
            </w:r>
          </w:p>
        </w:tc>
        <w:tc>
          <w:tcPr>
            <w:tcW w:w="5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those services.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 w:type="dxa"/>
            <w:vAlign w:val="bottom"/>
            <w:shd w:val="clear" w:color="auto" w:fill="D8D8D8"/>
          </w:tcPr>
          <w:p>
            <w:pPr>
              <w:spacing w:after="0"/>
              <w:rPr>
                <w:sz w:val="4"/>
                <w:szCs w:val="4"/>
                <w:color w:val="auto"/>
              </w:rPr>
            </w:pPr>
          </w:p>
        </w:tc>
        <w:tc>
          <w:tcPr>
            <w:tcW w:w="2480" w:type="dxa"/>
            <w:vAlign w:val="bottom"/>
            <w:shd w:val="clear" w:color="auto" w:fill="D8D8D8"/>
          </w:tcPr>
          <w:p>
            <w:pPr>
              <w:spacing w:after="0" w:line="54" w:lineRule="exact"/>
              <w:rPr>
                <w:sz w:val="20"/>
                <w:szCs w:val="20"/>
                <w:color w:val="auto"/>
              </w:rPr>
            </w:pPr>
            <w:r>
              <w:rPr>
                <w:rFonts w:ascii="Arial" w:cs="Arial" w:eastAsia="Arial" w:hAnsi="Arial"/>
                <w:sz w:val="6"/>
                <w:szCs w:val="6"/>
                <w:color w:val="auto"/>
              </w:rPr>
              <w:t>​</w:t>
            </w:r>
          </w:p>
        </w:tc>
        <w:tc>
          <w:tcPr>
            <w:tcW w:w="360" w:type="dxa"/>
            <w:vAlign w:val="bottom"/>
            <w:vMerge w:val="continue"/>
            <w:shd w:val="clear" w:color="auto" w:fill="D8D8D8"/>
          </w:tcPr>
          <w:p>
            <w:pPr>
              <w:spacing w:after="0"/>
              <w:rPr>
                <w:sz w:val="4"/>
                <w:szCs w:val="4"/>
                <w:color w:val="auto"/>
              </w:rPr>
            </w:pPr>
          </w:p>
        </w:tc>
        <w:tc>
          <w:tcPr>
            <w:tcW w:w="660" w:type="dxa"/>
            <w:vAlign w:val="bottom"/>
            <w:shd w:val="clear" w:color="auto" w:fill="D8D8D8"/>
          </w:tcPr>
          <w:p>
            <w:pPr>
              <w:spacing w:after="0"/>
              <w:rPr>
                <w:sz w:val="4"/>
                <w:szCs w:val="4"/>
                <w:color w:val="auto"/>
              </w:rPr>
            </w:pPr>
          </w:p>
        </w:tc>
        <w:tc>
          <w:tcPr>
            <w:tcW w:w="460" w:type="dxa"/>
            <w:vAlign w:val="bottom"/>
            <w:vMerge w:val="continue"/>
            <w:shd w:val="clear" w:color="auto" w:fill="D8D8D8"/>
          </w:tcPr>
          <w:p>
            <w:pPr>
              <w:spacing w:after="0"/>
              <w:rPr>
                <w:sz w:val="4"/>
                <w:szCs w:val="4"/>
                <w:color w:val="auto"/>
              </w:rPr>
            </w:pPr>
          </w:p>
        </w:tc>
        <w:tc>
          <w:tcPr>
            <w:tcW w:w="520" w:type="dxa"/>
            <w:vAlign w:val="bottom"/>
            <w:shd w:val="clear" w:color="auto" w:fill="D8D8D8"/>
          </w:tcPr>
          <w:p>
            <w:pPr>
              <w:spacing w:after="0"/>
              <w:rPr>
                <w:sz w:val="4"/>
                <w:szCs w:val="4"/>
                <w:color w:val="auto"/>
              </w:rPr>
            </w:pPr>
          </w:p>
        </w:tc>
        <w:tc>
          <w:tcPr>
            <w:tcW w:w="14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spacing w:after="0" w:line="202"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(2)</w:t>
            </w:r>
          </w:p>
        </w:tc>
        <w:tc>
          <w:tcPr>
            <w:tcW w:w="36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$7,732</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4620" w:type="dxa"/>
            <w:vAlign w:val="bottom"/>
            <w:gridSpan w:val="4"/>
            <w:vMerge w:val="restart"/>
          </w:tcPr>
          <w:p>
            <w:pPr>
              <w:ind w:left="80"/>
              <w:spacing w:after="0"/>
              <w:rPr>
                <w:sz w:val="20"/>
                <w:szCs w:val="20"/>
                <w:color w:val="auto"/>
              </w:rPr>
            </w:pPr>
            <w:r>
              <w:rPr>
                <w:rFonts w:ascii="Arial" w:cs="Arial" w:eastAsia="Arial" w:hAnsi="Arial"/>
                <w:sz w:val="18"/>
                <w:szCs w:val="18"/>
                <w:color w:val="auto"/>
                <w:w w:val="97"/>
              </w:rPr>
              <w:t>Our audit committee has not established any pre-approval</w:t>
            </w: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2480" w:type="dxa"/>
            <w:vAlign w:val="bottom"/>
          </w:tcPr>
          <w:p>
            <w:pPr>
              <w:spacing w:after="0" w:line="81" w:lineRule="exact"/>
              <w:rPr>
                <w:sz w:val="20"/>
                <w:szCs w:val="20"/>
                <w:color w:val="auto"/>
              </w:rPr>
            </w:pPr>
            <w:r>
              <w:rPr>
                <w:rFonts w:ascii="Arial" w:cs="Arial" w:eastAsia="Arial" w:hAnsi="Arial"/>
                <w:sz w:val="9"/>
                <w:szCs w:val="9"/>
                <w:color w:val="auto"/>
              </w:rPr>
              <w:t>​</w:t>
            </w:r>
          </w:p>
        </w:tc>
        <w:tc>
          <w:tcPr>
            <w:tcW w:w="3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46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D8D8D8"/>
          </w:tcPr>
          <w:p>
            <w:pPr>
              <w:spacing w:after="0"/>
              <w:rPr>
                <w:sz w:val="17"/>
                <w:szCs w:val="17"/>
                <w:color w:val="auto"/>
              </w:rPr>
            </w:pPr>
          </w:p>
        </w:tc>
        <w:tc>
          <w:tcPr>
            <w:tcW w:w="248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All other fees</w:t>
            </w:r>
          </w:p>
        </w:tc>
        <w:tc>
          <w:tcPr>
            <w:tcW w:w="360" w:type="dxa"/>
            <w:vAlign w:val="bottom"/>
            <w:vMerge w:val="restart"/>
            <w:shd w:val="clear" w:color="auto" w:fill="D8D8D8"/>
          </w:tcPr>
          <w:p>
            <w:pPr>
              <w:ind w:left="120"/>
              <w:spacing w:after="0"/>
              <w:rPr>
                <w:sz w:val="20"/>
                <w:szCs w:val="20"/>
                <w:color w:val="auto"/>
              </w:rPr>
            </w:pPr>
            <w:r>
              <w:rPr>
                <w:rFonts w:ascii="Arial" w:cs="Arial" w:eastAsia="Arial" w:hAnsi="Arial"/>
                <w:sz w:val="18"/>
                <w:szCs w:val="18"/>
                <w:color w:val="auto"/>
              </w:rPr>
              <w:t>​ ​</w:t>
            </w:r>
          </w:p>
        </w:tc>
        <w:tc>
          <w:tcPr>
            <w:tcW w:w="66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vMerge w:val="restart"/>
            <w:shd w:val="clear" w:color="auto" w:fill="D8D8D8"/>
          </w:tcPr>
          <w:p>
            <w:pPr>
              <w:ind w:left="60"/>
              <w:spacing w:after="0"/>
              <w:rPr>
                <w:sz w:val="20"/>
                <w:szCs w:val="20"/>
                <w:color w:val="auto"/>
              </w:rPr>
            </w:pPr>
            <w:r>
              <w:rPr>
                <w:rFonts w:ascii="Arial" w:cs="Arial" w:eastAsia="Arial" w:hAnsi="Arial"/>
                <w:sz w:val="18"/>
                <w:szCs w:val="18"/>
                <w:color w:val="auto"/>
              </w:rPr>
              <w:t>​ ​</w:t>
            </w:r>
          </w:p>
        </w:tc>
        <w:tc>
          <w:tcPr>
            <w:tcW w:w="5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2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policies or procedures that would allow our management</w:t>
            </w:r>
          </w:p>
        </w:tc>
        <w:tc>
          <w:tcPr>
            <w:tcW w:w="0" w:type="dxa"/>
            <w:vAlign w:val="bottom"/>
          </w:tcPr>
          <w:p>
            <w:pPr>
              <w:spacing w:after="0"/>
              <w:rPr>
                <w:sz w:val="1"/>
                <w:szCs w:val="1"/>
                <w:color w:val="auto"/>
              </w:rPr>
            </w:pPr>
          </w:p>
        </w:tc>
      </w:tr>
      <w:tr>
        <w:trPr>
          <w:trHeight w:val="54"/>
        </w:trPr>
        <w:tc>
          <w:tcPr>
            <w:tcW w:w="60" w:type="dxa"/>
            <w:vAlign w:val="bottom"/>
            <w:shd w:val="clear" w:color="auto" w:fill="D8D8D8"/>
          </w:tcPr>
          <w:p>
            <w:pPr>
              <w:spacing w:after="0"/>
              <w:rPr>
                <w:sz w:val="4"/>
                <w:szCs w:val="4"/>
                <w:color w:val="auto"/>
              </w:rPr>
            </w:pPr>
          </w:p>
        </w:tc>
        <w:tc>
          <w:tcPr>
            <w:tcW w:w="2480" w:type="dxa"/>
            <w:vAlign w:val="bottom"/>
            <w:shd w:val="clear" w:color="auto" w:fill="D8D8D8"/>
          </w:tcPr>
          <w:p>
            <w:pPr>
              <w:spacing w:after="0" w:line="54" w:lineRule="exact"/>
              <w:rPr>
                <w:sz w:val="20"/>
                <w:szCs w:val="20"/>
                <w:color w:val="auto"/>
              </w:rPr>
            </w:pPr>
            <w:r>
              <w:rPr>
                <w:rFonts w:ascii="Arial" w:cs="Arial" w:eastAsia="Arial" w:hAnsi="Arial"/>
                <w:sz w:val="6"/>
                <w:szCs w:val="6"/>
                <w:color w:val="auto"/>
              </w:rPr>
              <w:t>​</w:t>
            </w:r>
          </w:p>
        </w:tc>
        <w:tc>
          <w:tcPr>
            <w:tcW w:w="360" w:type="dxa"/>
            <w:vAlign w:val="bottom"/>
            <w:vMerge w:val="continue"/>
            <w:shd w:val="clear" w:color="auto" w:fill="D8D8D8"/>
          </w:tcPr>
          <w:p>
            <w:pPr>
              <w:spacing w:after="0"/>
              <w:rPr>
                <w:sz w:val="4"/>
                <w:szCs w:val="4"/>
                <w:color w:val="auto"/>
              </w:rPr>
            </w:pPr>
          </w:p>
        </w:tc>
        <w:tc>
          <w:tcPr>
            <w:tcW w:w="660" w:type="dxa"/>
            <w:vAlign w:val="bottom"/>
            <w:shd w:val="clear" w:color="auto" w:fill="D8D8D8"/>
          </w:tcPr>
          <w:p>
            <w:pPr>
              <w:spacing w:after="0"/>
              <w:rPr>
                <w:sz w:val="4"/>
                <w:szCs w:val="4"/>
                <w:color w:val="auto"/>
              </w:rPr>
            </w:pPr>
          </w:p>
        </w:tc>
        <w:tc>
          <w:tcPr>
            <w:tcW w:w="460" w:type="dxa"/>
            <w:vAlign w:val="bottom"/>
            <w:vMerge w:val="continue"/>
            <w:shd w:val="clear" w:color="auto" w:fill="D8D8D8"/>
          </w:tcPr>
          <w:p>
            <w:pPr>
              <w:spacing w:after="0"/>
              <w:rPr>
                <w:sz w:val="4"/>
                <w:szCs w:val="4"/>
                <w:color w:val="auto"/>
              </w:rPr>
            </w:pPr>
          </w:p>
        </w:tc>
        <w:tc>
          <w:tcPr>
            <w:tcW w:w="520" w:type="dxa"/>
            <w:vAlign w:val="bottom"/>
            <w:shd w:val="clear" w:color="auto" w:fill="D8D8D8"/>
          </w:tcPr>
          <w:p>
            <w:pPr>
              <w:spacing w:after="0"/>
              <w:rPr>
                <w:sz w:val="4"/>
                <w:szCs w:val="4"/>
                <w:color w:val="auto"/>
              </w:rPr>
            </w:pPr>
          </w:p>
        </w:tc>
        <w:tc>
          <w:tcPr>
            <w:tcW w:w="140" w:type="dxa"/>
            <w:vAlign w:val="bottom"/>
            <w:vMerge w:val="continue"/>
          </w:tcPr>
          <w:p>
            <w:pPr>
              <w:spacing w:after="0"/>
              <w:rPr>
                <w:sz w:val="4"/>
                <w:szCs w:val="4"/>
                <w:color w:val="auto"/>
              </w:rPr>
            </w:pPr>
          </w:p>
        </w:tc>
        <w:tc>
          <w:tcPr>
            <w:tcW w:w="4620" w:type="dxa"/>
            <w:vAlign w:val="bottom"/>
            <w:gridSpan w:val="4"/>
            <w:vMerge w:val="restart"/>
          </w:tcPr>
          <w:p>
            <w:pPr>
              <w:ind w:left="80"/>
              <w:spacing w:after="0"/>
              <w:rPr>
                <w:sz w:val="20"/>
                <w:szCs w:val="20"/>
                <w:color w:val="auto"/>
              </w:rPr>
            </w:pPr>
            <w:r>
              <w:rPr>
                <w:rFonts w:ascii="Arial" w:cs="Arial" w:eastAsia="Arial" w:hAnsi="Arial"/>
                <w:sz w:val="18"/>
                <w:szCs w:val="18"/>
                <w:color w:val="auto"/>
              </w:rPr>
              <w:t>to engage our independent registered public accounting</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2480" w:type="dxa"/>
            <w:vAlign w:val="bottom"/>
          </w:tcPr>
          <w:p>
            <w:pPr>
              <w:spacing w:after="0" w:line="202" w:lineRule="exact"/>
              <w:rPr>
                <w:sz w:val="20"/>
                <w:szCs w:val="20"/>
                <w:color w:val="auto"/>
              </w:rPr>
            </w:pPr>
            <w:r>
              <w:rPr>
                <w:rFonts w:ascii="Arial" w:cs="Arial" w:eastAsia="Arial" w:hAnsi="Arial"/>
                <w:sz w:val="18"/>
                <w:szCs w:val="18"/>
                <w:color w:val="auto"/>
              </w:rPr>
              <w:t>Total fees</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$731,033</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$753,466</w:t>
            </w:r>
          </w:p>
        </w:tc>
        <w:tc>
          <w:tcPr>
            <w:tcW w:w="140" w:type="dxa"/>
            <w:vAlign w:val="bottom"/>
          </w:tcPr>
          <w:p>
            <w:pPr>
              <w:spacing w:after="0"/>
              <w:rPr>
                <w:sz w:val="17"/>
                <w:szCs w:val="17"/>
                <w:color w:val="auto"/>
              </w:rPr>
            </w:pPr>
          </w:p>
        </w:tc>
        <w:tc>
          <w:tcPr>
            <w:tcW w:w="46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60" w:type="dxa"/>
            <w:vAlign w:val="bottom"/>
            <w:tcBorders>
              <w:bottom w:val="single" w:sz="8" w:color="auto"/>
            </w:tcBorders>
          </w:tcPr>
          <w:p>
            <w:pPr>
              <w:spacing w:after="0"/>
              <w:rPr>
                <w:sz w:val="7"/>
                <w:szCs w:val="7"/>
                <w:color w:val="auto"/>
              </w:rPr>
            </w:pPr>
          </w:p>
        </w:tc>
        <w:tc>
          <w:tcPr>
            <w:tcW w:w="2480" w:type="dxa"/>
            <w:vAlign w:val="bottom"/>
            <w:tcBorders>
              <w:bottom w:val="single" w:sz="8" w:color="auto"/>
            </w:tcBorders>
          </w:tcPr>
          <w:p>
            <w:pPr>
              <w:spacing w:after="0" w:line="61" w:lineRule="exact"/>
              <w:rPr>
                <w:sz w:val="20"/>
                <w:szCs w:val="20"/>
                <w:color w:val="auto"/>
              </w:rPr>
            </w:pPr>
            <w:r>
              <w:rPr>
                <w:rFonts w:ascii="Arial" w:cs="Arial" w:eastAsia="Arial" w:hAnsi="Arial"/>
                <w:sz w:val="7"/>
                <w:szCs w:val="7"/>
                <w:color w:val="auto"/>
              </w:rPr>
              <w:t>​</w:t>
            </w:r>
          </w:p>
        </w:tc>
        <w:tc>
          <w:tcPr>
            <w:tcW w:w="360" w:type="dxa"/>
            <w:vAlign w:val="bottom"/>
            <w:tcBorders>
              <w:bottom w:val="single" w:sz="8" w:color="auto"/>
            </w:tcBorders>
          </w:tcPr>
          <w:p>
            <w:pPr>
              <w:ind w:left="120"/>
              <w:spacing w:after="0" w:line="61" w:lineRule="exact"/>
              <w:rPr>
                <w:sz w:val="20"/>
                <w:szCs w:val="20"/>
                <w:color w:val="auto"/>
              </w:rPr>
            </w:pPr>
            <w:r>
              <w:rPr>
                <w:rFonts w:ascii="Arial" w:cs="Arial" w:eastAsia="Arial" w:hAnsi="Arial"/>
                <w:sz w:val="7"/>
                <w:szCs w:val="7"/>
                <w:color w:val="auto"/>
              </w:rPr>
              <w:t>​ ​</w:t>
            </w:r>
          </w:p>
        </w:tc>
        <w:tc>
          <w:tcPr>
            <w:tcW w:w="6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ind w:left="60"/>
              <w:spacing w:after="0" w:line="61" w:lineRule="exact"/>
              <w:rPr>
                <w:sz w:val="20"/>
                <w:szCs w:val="20"/>
                <w:color w:val="auto"/>
              </w:rPr>
            </w:pPr>
            <w:r>
              <w:rPr>
                <w:rFonts w:ascii="Arial" w:cs="Arial" w:eastAsia="Arial" w:hAnsi="Arial"/>
                <w:sz w:val="7"/>
                <w:szCs w:val="7"/>
                <w:color w:val="auto"/>
              </w:rPr>
              <w:t>​ ​</w:t>
            </w:r>
          </w:p>
        </w:tc>
        <w:tc>
          <w:tcPr>
            <w:tcW w:w="520" w:type="dxa"/>
            <w:vAlign w:val="bottom"/>
            <w:tcBorders>
              <w:bottom w:val="single" w:sz="8" w:color="auto"/>
            </w:tcBorders>
          </w:tcPr>
          <w:p>
            <w:pPr>
              <w:spacing w:after="0"/>
              <w:rPr>
                <w:sz w:val="7"/>
                <w:szCs w:val="7"/>
                <w:color w:val="auto"/>
              </w:rPr>
            </w:pPr>
          </w:p>
        </w:tc>
        <w:tc>
          <w:tcPr>
            <w:tcW w:w="140" w:type="dxa"/>
            <w:vAlign w:val="bottom"/>
            <w:vMerge w:val="restart"/>
          </w:tcPr>
          <w:p>
            <w:pPr>
              <w:jc w:val="right"/>
              <w:spacing w:after="0" w:line="140" w:lineRule="exact"/>
              <w:rPr>
                <w:sz w:val="20"/>
                <w:szCs w:val="20"/>
                <w:color w:val="auto"/>
              </w:rPr>
            </w:pPr>
            <w:r>
              <w:rPr>
                <w:rFonts w:ascii="Arial" w:cs="Arial" w:eastAsia="Arial" w:hAnsi="Arial"/>
                <w:sz w:val="16"/>
                <w:szCs w:val="16"/>
                <w:color w:val="auto"/>
              </w:rPr>
              <w:t>​</w:t>
            </w:r>
          </w:p>
        </w:tc>
        <w:tc>
          <w:tcPr>
            <w:tcW w:w="720" w:type="dxa"/>
            <w:vAlign w:val="bottom"/>
            <w:vMerge w:val="restart"/>
          </w:tcPr>
          <w:p>
            <w:pPr>
              <w:ind w:left="80"/>
              <w:spacing w:after="0" w:line="140" w:lineRule="exact"/>
              <w:rPr>
                <w:sz w:val="20"/>
                <w:szCs w:val="20"/>
                <w:color w:val="auto"/>
              </w:rPr>
            </w:pPr>
            <w:r>
              <w:rPr>
                <w:rFonts w:ascii="Arial" w:cs="Arial" w:eastAsia="Arial" w:hAnsi="Arial"/>
                <w:sz w:val="16"/>
                <w:szCs w:val="16"/>
                <w:color w:val="auto"/>
              </w:rPr>
              <w:t>firm  to</w:t>
            </w:r>
          </w:p>
        </w:tc>
        <w:tc>
          <w:tcPr>
            <w:tcW w:w="2760" w:type="dxa"/>
            <w:vAlign w:val="bottom"/>
            <w:vMerge w:val="restart"/>
          </w:tcPr>
          <w:p>
            <w:pPr>
              <w:ind w:left="80"/>
              <w:spacing w:after="0" w:line="140" w:lineRule="exact"/>
              <w:rPr>
                <w:sz w:val="20"/>
                <w:szCs w:val="20"/>
                <w:color w:val="auto"/>
              </w:rPr>
            </w:pPr>
            <w:r>
              <w:rPr>
                <w:rFonts w:ascii="Arial" w:cs="Arial" w:eastAsia="Arial" w:hAnsi="Arial"/>
                <w:sz w:val="16"/>
                <w:szCs w:val="16"/>
                <w:color w:val="auto"/>
              </w:rPr>
              <w:t>provide  any  specified  services</w:t>
            </w:r>
          </w:p>
        </w:tc>
        <w:tc>
          <w:tcPr>
            <w:tcW w:w="860" w:type="dxa"/>
            <w:vAlign w:val="bottom"/>
            <w:vMerge w:val="restart"/>
          </w:tcPr>
          <w:p>
            <w:pPr>
              <w:jc w:val="center"/>
              <w:spacing w:after="0" w:line="140" w:lineRule="exact"/>
              <w:rPr>
                <w:sz w:val="20"/>
                <w:szCs w:val="20"/>
                <w:color w:val="auto"/>
              </w:rPr>
            </w:pPr>
            <w:r>
              <w:rPr>
                <w:rFonts w:ascii="Arial" w:cs="Arial" w:eastAsia="Arial" w:hAnsi="Arial"/>
                <w:sz w:val="16"/>
                <w:szCs w:val="16"/>
                <w:color w:val="auto"/>
              </w:rPr>
              <w:t>with  only</w:t>
            </w:r>
          </w:p>
        </w:tc>
        <w:tc>
          <w:tcPr>
            <w:tcW w:w="280" w:type="dxa"/>
            <w:vAlign w:val="bottom"/>
            <w:vMerge w:val="restart"/>
          </w:tcPr>
          <w:p>
            <w:pPr>
              <w:jc w:val="right"/>
              <w:spacing w:after="0" w:line="140" w:lineRule="exact"/>
              <w:rPr>
                <w:sz w:val="20"/>
                <w:szCs w:val="20"/>
                <w:color w:val="auto"/>
              </w:rPr>
            </w:pPr>
            <w:r>
              <w:rPr>
                <w:rFonts w:ascii="Arial" w:cs="Arial" w:eastAsia="Arial" w:hAnsi="Arial"/>
                <w:sz w:val="16"/>
                <w:szCs w:val="16"/>
                <w:color w:val="auto"/>
              </w:rPr>
              <w:t>an</w:t>
            </w:r>
          </w:p>
        </w:tc>
        <w:tc>
          <w:tcPr>
            <w:tcW w:w="0" w:type="dxa"/>
            <w:vAlign w:val="bottom"/>
          </w:tcPr>
          <w:p>
            <w:pPr>
              <w:spacing w:after="0"/>
              <w:rPr>
                <w:sz w:val="1"/>
                <w:szCs w:val="1"/>
                <w:color w:val="auto"/>
              </w:rPr>
            </w:pPr>
          </w:p>
        </w:tc>
      </w:tr>
      <w:tr>
        <w:trPr>
          <w:trHeight w:val="39"/>
        </w:trPr>
        <w:tc>
          <w:tcPr>
            <w:tcW w:w="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76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2197100</wp:posOffset>
            </wp:positionH>
            <wp:positionV relativeFrom="paragraph">
              <wp:posOffset>-1065530</wp:posOffset>
            </wp:positionV>
            <wp:extent cx="11315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-1210945</wp:posOffset>
            </wp:positionV>
            <wp:extent cx="34290" cy="308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308610"/>
                    </a:xfrm>
                    <a:prstGeom prst="rect">
                      <a:avLst/>
                    </a:prstGeom>
                    <a:noFill/>
                  </pic:spPr>
                </pic:pic>
              </a:graphicData>
            </a:graphic>
          </wp:anchor>
        </w:drawing>
      </w:r>
    </w:p>
    <w:p>
      <w:pPr>
        <w:ind w:left="1060" w:hanging="352"/>
        <w:spacing w:after="0" w:line="194" w:lineRule="auto"/>
        <w:tabs>
          <w:tab w:leader="none" w:pos="1060" w:val="left"/>
        </w:tabs>
        <w:numPr>
          <w:ilvl w:val="0"/>
          <w:numId w:val="51"/>
        </w:numPr>
        <w:rPr>
          <w:rFonts w:ascii="Arial" w:cs="Arial" w:eastAsia="Arial" w:hAnsi="Arial"/>
          <w:sz w:val="14"/>
          <w:szCs w:val="14"/>
          <w:color w:val="395796"/>
        </w:rPr>
      </w:pPr>
      <w:r>
        <w:rPr>
          <w:rFonts w:ascii="Arial" w:cs="Arial" w:eastAsia="Arial" w:hAnsi="Arial"/>
          <w:sz w:val="14"/>
          <w:szCs w:val="14"/>
          <w:color w:val="auto"/>
        </w:rPr>
        <w:t>For 2025 and 2024, audit fees consisted of amounts billed for</w:t>
      </w:r>
    </w:p>
    <w:tbl>
      <w:tblPr>
        <w:tblLayout w:type="fixed"/>
        <w:tblInd w:w="700" w:type="dxa"/>
        <w:tblCellMar>
          <w:top w:w="0" w:type="dxa"/>
          <w:left w:w="0" w:type="dxa"/>
          <w:bottom w:w="0" w:type="dxa"/>
          <w:right w:w="0" w:type="dxa"/>
        </w:tblCellMar>
      </w:tblPr>
      <w:tr>
        <w:trPr>
          <w:trHeight w:val="176"/>
        </w:trPr>
        <w:tc>
          <w:tcPr>
            <w:tcW w:w="120" w:type="dxa"/>
            <w:vAlign w:val="bottom"/>
          </w:tcPr>
          <w:p>
            <w:pPr>
              <w:spacing w:after="0"/>
              <w:rPr>
                <w:sz w:val="15"/>
                <w:szCs w:val="15"/>
                <w:color w:val="auto"/>
              </w:rPr>
            </w:pPr>
          </w:p>
        </w:tc>
        <w:tc>
          <w:tcPr>
            <w:tcW w:w="4320" w:type="dxa"/>
            <w:vAlign w:val="bottom"/>
          </w:tcPr>
          <w:p>
            <w:pPr>
              <w:ind w:left="240"/>
              <w:spacing w:after="0"/>
              <w:rPr>
                <w:sz w:val="20"/>
                <w:szCs w:val="20"/>
                <w:color w:val="auto"/>
              </w:rPr>
            </w:pPr>
            <w:r>
              <w:rPr>
                <w:rFonts w:ascii="Arial" w:cs="Arial" w:eastAsia="Arial" w:hAnsi="Arial"/>
                <w:sz w:val="14"/>
                <w:szCs w:val="14"/>
                <w:color w:val="auto"/>
              </w:rPr>
              <w:t>professional services rendered for the integrated audit of our</w:t>
            </w:r>
          </w:p>
        </w:tc>
        <w:tc>
          <w:tcPr>
            <w:tcW w:w="4880" w:type="dxa"/>
            <w:vAlign w:val="bottom"/>
            <w:gridSpan w:val="3"/>
          </w:tcPr>
          <w:p>
            <w:pPr>
              <w:ind w:left="320"/>
              <w:spacing w:after="0" w:line="176" w:lineRule="exact"/>
              <w:rPr>
                <w:sz w:val="20"/>
                <w:szCs w:val="20"/>
                <w:color w:val="auto"/>
              </w:rPr>
            </w:pPr>
            <w:r>
              <w:rPr>
                <w:rFonts w:ascii="Arial" w:cs="Arial" w:eastAsia="Arial" w:hAnsi="Arial"/>
                <w:sz w:val="18"/>
                <w:szCs w:val="18"/>
                <w:color w:val="auto"/>
                <w:w w:val="98"/>
              </w:rPr>
              <w:t>obligation to notify the audit committee of the engagement</w:t>
            </w: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for those services.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20" w:type="dxa"/>
            <w:vAlign w:val="bottom"/>
            <w:vMerge w:val="restart"/>
          </w:tcPr>
          <w:p>
            <w:pPr>
              <w:spacing w:after="0" w:line="318" w:lineRule="exact"/>
              <w:rPr>
                <w:sz w:val="20"/>
                <w:szCs w:val="20"/>
                <w:color w:val="auto"/>
              </w:rPr>
            </w:pPr>
            <w:r>
              <w:rPr>
                <w:rFonts w:ascii="Arial" w:cs="Arial" w:eastAsia="Arial" w:hAnsi="Arial"/>
                <w:sz w:val="32"/>
                <w:szCs w:val="32"/>
                <w:b w:val="1"/>
                <w:bCs w:val="1"/>
                <w:color w:val="FFFFFF"/>
              </w:rPr>
              <w:t>​</w:t>
            </w:r>
          </w:p>
        </w:tc>
        <w:tc>
          <w:tcPr>
            <w:tcW w:w="432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120" w:type="dxa"/>
            <w:vAlign w:val="bottom"/>
            <w:vMerge w:val="restart"/>
          </w:tcPr>
          <w:p>
            <w:pPr>
              <w:spacing w:after="0" w:line="318" w:lineRule="exact"/>
              <w:rPr>
                <w:sz w:val="20"/>
                <w:szCs w:val="20"/>
                <w:color w:val="auto"/>
              </w:rPr>
            </w:pPr>
            <w:r>
              <w:rPr>
                <w:rFonts w:ascii="Arial" w:cs="Arial" w:eastAsia="Arial" w:hAnsi="Arial"/>
                <w:sz w:val="32"/>
                <w:szCs w:val="32"/>
                <w:b w:val="1"/>
                <w:bCs w:val="1"/>
                <w:color w:val="FFFFFF"/>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120" w:type="dxa"/>
            <w:vAlign w:val="bottom"/>
            <w:vMerge w:val="continue"/>
          </w:tcPr>
          <w:p>
            <w:pPr>
              <w:spacing w:after="0"/>
              <w:rPr>
                <w:sz w:val="6"/>
                <w:szCs w:val="6"/>
                <w:color w:val="auto"/>
              </w:rPr>
            </w:pPr>
          </w:p>
        </w:tc>
        <w:tc>
          <w:tcPr>
            <w:tcW w:w="4320" w:type="dxa"/>
            <w:vAlign w:val="bottom"/>
            <w:shd w:val="clear" w:color="auto" w:fill="395796"/>
          </w:tcPr>
          <w:p>
            <w:pPr>
              <w:spacing w:after="0"/>
              <w:rPr>
                <w:sz w:val="6"/>
                <w:szCs w:val="6"/>
                <w:color w:val="auto"/>
              </w:rPr>
            </w:pPr>
          </w:p>
        </w:tc>
        <w:tc>
          <w:tcPr>
            <w:tcW w:w="4740" w:type="dxa"/>
            <w:vAlign w:val="bottom"/>
            <w:shd w:val="clear" w:color="auto" w:fill="395796"/>
          </w:tcPr>
          <w:p>
            <w:pPr>
              <w:ind w:left="1440"/>
              <w:spacing w:after="0" w:line="71" w:lineRule="exact"/>
              <w:rPr>
                <w:sz w:val="20"/>
                <w:szCs w:val="20"/>
                <w:color w:val="auto"/>
              </w:rPr>
            </w:pPr>
            <w:r>
              <w:rPr>
                <w:rFonts w:ascii="Arial" w:cs="Arial" w:eastAsia="Arial" w:hAnsi="Arial"/>
                <w:sz w:val="8"/>
                <w:szCs w:val="8"/>
                <w:color w:val="FFFFFF"/>
              </w:rPr>
              <w:t>​</w:t>
            </w:r>
          </w:p>
        </w:tc>
        <w:tc>
          <w:tcPr>
            <w:tcW w:w="120" w:type="dxa"/>
            <w:vAlign w:val="bottom"/>
            <w:vMerge w:val="continue"/>
          </w:tcPr>
          <w:p>
            <w:pPr>
              <w:spacing w:after="0"/>
              <w:rPr>
                <w:sz w:val="6"/>
                <w:szCs w:val="6"/>
                <w:color w:val="auto"/>
              </w:rPr>
            </w:pPr>
          </w:p>
        </w:tc>
        <w:tc>
          <w:tcPr>
            <w:tcW w:w="20" w:type="dxa"/>
            <w:vAlign w:val="bottom"/>
            <w:shd w:val="clear" w:color="auto" w:fill="395796"/>
          </w:tcPr>
          <w:p>
            <w:pPr>
              <w:spacing w:after="0"/>
              <w:rPr>
                <w:sz w:val="6"/>
                <w:szCs w:val="6"/>
                <w:color w:val="auto"/>
              </w:rPr>
            </w:pPr>
          </w:p>
        </w:tc>
        <w:tc>
          <w:tcPr>
            <w:tcW w:w="0" w:type="dxa"/>
            <w:vAlign w:val="bottom"/>
          </w:tcPr>
          <w:p>
            <w:pPr>
              <w:spacing w:after="0"/>
              <w:rPr>
                <w:sz w:val="1"/>
                <w:szCs w:val="1"/>
                <w:color w:val="auto"/>
              </w:rPr>
            </w:pPr>
          </w:p>
        </w:tc>
      </w:tr>
      <w:tr>
        <w:trPr>
          <w:trHeight w:val="401"/>
        </w:trPr>
        <w:tc>
          <w:tcPr>
            <w:tcW w:w="120" w:type="dxa"/>
            <w:vAlign w:val="bottom"/>
          </w:tcPr>
          <w:p>
            <w:pPr>
              <w:spacing w:after="0"/>
              <w:rPr>
                <w:sz w:val="24"/>
                <w:szCs w:val="24"/>
                <w:color w:val="auto"/>
              </w:rPr>
            </w:pPr>
          </w:p>
        </w:tc>
        <w:tc>
          <w:tcPr>
            <w:tcW w:w="9060" w:type="dxa"/>
            <w:vAlign w:val="bottom"/>
            <w:gridSpan w:val="2"/>
            <w:shd w:val="clear" w:color="auto" w:fill="395796"/>
          </w:tcPr>
          <w:p>
            <w:pPr>
              <w:spacing w:after="0"/>
              <w:rPr>
                <w:sz w:val="20"/>
                <w:szCs w:val="20"/>
                <w:color w:val="auto"/>
              </w:rPr>
            </w:pPr>
            <w:r>
              <w:rPr>
                <w:rFonts w:ascii="Arial" w:cs="Arial" w:eastAsia="Arial" w:hAnsi="Arial"/>
                <w:sz w:val="32"/>
                <w:szCs w:val="32"/>
                <w:b w:val="1"/>
                <w:bCs w:val="1"/>
                <w:color w:val="FFFFFF"/>
              </w:rPr>
              <w:t>DELINQUENT SECTION 16(a) REPORTS</w:t>
            </w:r>
          </w:p>
        </w:tc>
        <w:tc>
          <w:tcPr>
            <w:tcW w:w="120" w:type="dxa"/>
            <w:vAlign w:val="bottom"/>
          </w:tcPr>
          <w:p>
            <w:pPr>
              <w:spacing w:after="0"/>
              <w:rPr>
                <w:sz w:val="24"/>
                <w:szCs w:val="24"/>
                <w:color w:val="auto"/>
              </w:rPr>
            </w:pPr>
          </w:p>
        </w:tc>
        <w:tc>
          <w:tcPr>
            <w:tcW w:w="20" w:type="dxa"/>
            <w:vAlign w:val="bottom"/>
            <w:shd w:val="clear" w:color="auto" w:fill="39579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-312420</wp:posOffset>
            </wp:positionV>
            <wp:extent cx="102870" cy="3257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-312420</wp:posOffset>
            </wp:positionV>
            <wp:extent cx="102235" cy="3257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235" cy="325755"/>
                    </a:xfrm>
                    <a:prstGeom prst="rect">
                      <a:avLst/>
                    </a:prstGeom>
                    <a:noFill/>
                  </pic:spPr>
                </pic:pic>
              </a:graphicData>
            </a:graphic>
          </wp:anchor>
        </w:drawing>
      </w:r>
    </w:p>
    <w:p>
      <w:pPr>
        <w:spacing w:after="0" w:line="272" w:lineRule="exact"/>
        <w:rPr>
          <w:sz w:val="20"/>
          <w:szCs w:val="20"/>
          <w:color w:val="auto"/>
        </w:rPr>
      </w:pPr>
    </w:p>
    <w:p>
      <w:pPr>
        <w:jc w:val="both"/>
        <w:ind w:left="700"/>
        <w:spacing w:after="0" w:line="262" w:lineRule="auto"/>
        <w:rPr>
          <w:sz w:val="20"/>
          <w:szCs w:val="20"/>
          <w:color w:val="auto"/>
        </w:rPr>
      </w:pPr>
      <w:r>
        <w:rPr>
          <w:rFonts w:ascii="Arial" w:cs="Arial" w:eastAsia="Arial" w:hAnsi="Arial"/>
          <w:sz w:val="18"/>
          <w:szCs w:val="18"/>
          <w:color w:val="auto"/>
        </w:rPr>
        <w:t>Section 16(a) of the Securities Exchange Act of 1934 requires our executive officers and directors and persons who beneficially own more than ten percent of our common stock to file reports of ownership and changes in ownership with the SEC. SEC regulations require executive officers, directors and greater-than-ten-percent stockholders to furnish us with copies of all Section 16(a) forms they file.</w:t>
      </w:r>
    </w:p>
    <w:p>
      <w:pPr>
        <w:spacing w:after="0" w:line="68" w:lineRule="exact"/>
        <w:rPr>
          <w:sz w:val="20"/>
          <w:szCs w:val="20"/>
          <w:color w:val="auto"/>
        </w:rPr>
      </w:pPr>
    </w:p>
    <w:p>
      <w:pPr>
        <w:jc w:val="both"/>
        <w:ind w:left="700"/>
        <w:spacing w:after="0" w:line="282" w:lineRule="auto"/>
        <w:rPr>
          <w:sz w:val="20"/>
          <w:szCs w:val="20"/>
          <w:color w:val="auto"/>
        </w:rPr>
      </w:pPr>
      <w:r>
        <w:rPr>
          <w:rFonts w:ascii="Arial" w:cs="Arial" w:eastAsia="Arial" w:hAnsi="Arial"/>
          <w:sz w:val="17"/>
          <w:szCs w:val="17"/>
          <w:color w:val="auto"/>
        </w:rPr>
        <w:t>Based solely upon a review of Forms 3, 4, and 5, and amendments thereto, furnished to us with respect to 2025, we believe that all Section 16(a) filing requirements applicable to our executive officers, directors and greater-than-ten-percent stockholders were fulfilled in a timely manner, except that (i) Joseph Spytek failed to timely file one Form 4 with respect to one transaction and (ii) Brent C. Bruun failed to timely file one Form 4 with respect to two transactions.</w:t>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40" w:hanging="332"/>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395796"/>
        </w:rPr>
        <w:t>KVH Industries, Inc.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386080</wp:posOffset>
            </wp:positionV>
            <wp:extent cx="102870" cy="3257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325755"/>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386080</wp:posOffset>
            </wp:positionV>
            <wp:extent cx="102235" cy="3257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235" cy="325755"/>
                    </a:xfrm>
                    <a:prstGeom prst="rect">
                      <a:avLst/>
                    </a:prstGeom>
                    <a:noFill/>
                  </pic:spPr>
                </pic:pic>
              </a:graphicData>
            </a:graphic>
          </wp:anchor>
        </w:drawing>
      </w:r>
    </w:p>
    <w:p>
      <w:pPr>
        <w:spacing w:after="0" w:line="311" w:lineRule="exact"/>
        <w:rPr>
          <w:sz w:val="20"/>
          <w:szCs w:val="20"/>
          <w:color w:val="auto"/>
        </w:rPr>
      </w:pPr>
    </w:p>
    <w:tbl>
      <w:tblPr>
        <w:tblLayout w:type="fixed"/>
        <w:tblInd w:w="700" w:type="dxa"/>
        <w:tblCellMar>
          <w:top w:w="0" w:type="dxa"/>
          <w:left w:w="0" w:type="dxa"/>
          <w:bottom w:w="0" w:type="dxa"/>
          <w:right w:w="0" w:type="dxa"/>
        </w:tblCellMar>
      </w:tblPr>
      <w:tr>
        <w:trPr>
          <w:trHeight w:val="368"/>
        </w:trPr>
        <w:tc>
          <w:tcPr>
            <w:tcW w:w="120" w:type="dxa"/>
            <w:vAlign w:val="bottom"/>
          </w:tcPr>
          <w:p>
            <w:pPr>
              <w:spacing w:after="0"/>
              <w:rPr>
                <w:sz w:val="20"/>
                <w:szCs w:val="20"/>
                <w:color w:val="auto"/>
              </w:rPr>
            </w:pPr>
            <w:r>
              <w:rPr>
                <w:rFonts w:ascii="Arial" w:cs="Arial" w:eastAsia="Arial" w:hAnsi="Arial"/>
                <w:sz w:val="32"/>
                <w:szCs w:val="32"/>
                <w:b w:val="1"/>
                <w:bCs w:val="1"/>
                <w:color w:val="FFFFFF"/>
              </w:rPr>
              <w:t>​</w:t>
            </w:r>
          </w:p>
        </w:tc>
        <w:tc>
          <w:tcPr>
            <w:tcW w:w="9060" w:type="dxa"/>
            <w:vAlign w:val="bottom"/>
            <w:shd w:val="clear" w:color="auto" w:fill="395796"/>
          </w:tcPr>
          <w:p>
            <w:pPr>
              <w:ind w:left="4540"/>
              <w:spacing w:after="0"/>
              <w:rPr>
                <w:sz w:val="20"/>
                <w:szCs w:val="20"/>
                <w:color w:val="auto"/>
              </w:rPr>
            </w:pPr>
            <w:r>
              <w:rPr>
                <w:rFonts w:ascii="Arial" w:cs="Arial" w:eastAsia="Arial" w:hAnsi="Arial"/>
                <w:sz w:val="18"/>
                <w:szCs w:val="18"/>
                <w:color w:val="FFFFFF"/>
              </w:rPr>
              <w:t>​</w:t>
            </w:r>
          </w:p>
        </w:tc>
        <w:tc>
          <w:tcPr>
            <w:tcW w:w="80" w:type="dxa"/>
            <w:vAlign w:val="bottom"/>
          </w:tcPr>
          <w:p>
            <w:pPr>
              <w:spacing w:after="0"/>
              <w:rPr>
                <w:sz w:val="20"/>
                <w:szCs w:val="20"/>
                <w:color w:val="auto"/>
              </w:rPr>
            </w:pPr>
            <w:r>
              <w:rPr>
                <w:rFonts w:ascii="Arial" w:cs="Arial" w:eastAsia="Arial" w:hAnsi="Arial"/>
                <w:sz w:val="32"/>
                <w:szCs w:val="32"/>
                <w:b w:val="1"/>
                <w:bCs w:val="1"/>
                <w:color w:val="FFFFFF"/>
              </w:rPr>
              <w:t>​</w:t>
            </w:r>
          </w:p>
        </w:tc>
      </w:tr>
      <w:tr>
        <w:trPr>
          <w:trHeight w:val="401"/>
        </w:trPr>
        <w:tc>
          <w:tcPr>
            <w:tcW w:w="120" w:type="dxa"/>
            <w:vAlign w:val="bottom"/>
          </w:tcPr>
          <w:p>
            <w:pPr>
              <w:spacing w:after="0"/>
              <w:rPr>
                <w:sz w:val="24"/>
                <w:szCs w:val="24"/>
                <w:color w:val="auto"/>
              </w:rPr>
            </w:pPr>
          </w:p>
        </w:tc>
        <w:tc>
          <w:tcPr>
            <w:tcW w:w="9060" w:type="dxa"/>
            <w:vAlign w:val="bottom"/>
            <w:shd w:val="clear" w:color="auto" w:fill="395796"/>
          </w:tcPr>
          <w:p>
            <w:pPr>
              <w:spacing w:after="0"/>
              <w:rPr>
                <w:sz w:val="20"/>
                <w:szCs w:val="20"/>
                <w:color w:val="auto"/>
              </w:rPr>
            </w:pPr>
            <w:r>
              <w:rPr>
                <w:rFonts w:ascii="Arial" w:cs="Arial" w:eastAsia="Arial" w:hAnsi="Arial"/>
                <w:sz w:val="32"/>
                <w:szCs w:val="32"/>
                <w:b w:val="1"/>
                <w:bCs w:val="1"/>
                <w:color w:val="FFFFFF"/>
              </w:rPr>
              <w:t>STOCKHOLDER PROPOSALS</w:t>
            </w:r>
          </w:p>
        </w:tc>
        <w:tc>
          <w:tcPr>
            <w:tcW w:w="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020"/>
          </w:cols>
          <w:pgMar w:left="580" w:top="97" w:right="1299" w:bottom="1440" w:gutter="0" w:footer="0" w:header="0"/>
        </w:sectPr>
      </w:pPr>
    </w:p>
    <w:p>
      <w:pPr>
        <w:spacing w:after="0" w:line="119"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We give careful consideration to proposals received from stockholders. Stockholder proposals submitted in accordance with Rule 14a-8 under the Exchange Act are eligible for consideration for inclusion in our proxy statement for the 2027 annual meeting of stockholders if they are received by the company on or before December 29, 2026. In order for a stockholder proposal submitted outside of Rule 14a-8 to be considered at the 2027 annual meeting of stockholders, such proposal must be received by the company not later than the last date for submission of stockholder proposals under the by-laws. In order for a proposal (including nominations of directors) to be timely under the by-laws, it must be received not later than the close of business 90 days (i.e., February 5, 2027) nor earlier than 120 days (i.e., January 6, 2027) before the “Specified Date.” Under the by-laws, the Specified Date is the first Wednesday in May each year (unless it is a legal holiday, in which case the Specified Date is the next day following the Specified Date that is not a legal holiday).</w:t>
      </w:r>
    </w:p>
    <w:p>
      <w:pPr>
        <w:spacing w:after="0" w:line="70"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In the event that the 2027 annual meeting of stockholders is called for a date that is prior to the Specified Date, and if less than 105 days’ notice or prior public disclosure of the date of such annual meeting is given or made, notice of any proposal (including nominations of directors) submitted pursuant to the by-laws by a stockholder to be timely must be received not later than the close of business on the tenth day following the earlier of the day on which notice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148590</wp:posOffset>
            </wp:positionV>
            <wp:extent cx="102870" cy="3257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date of such annual meeting is mailed or the day on which public disclosure is made of the date of such annual meeting.</w:t>
      </w:r>
    </w:p>
    <w:p>
      <w:pPr>
        <w:spacing w:after="0" w:line="54"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addition, under Rule 14a-19(b) under the Exchange Act, a stockholder intending to solicit proxies in support of director nominees other than our nominees must provide notice of that intent to us. For our 2027 annual meeting of stockholders, the deadline for providing that notice is currently April 11, 2027. If we change the date of the 2027 annual meeting of stockholders by more than 30 calendar days from the anniversary of the date of our 2026 annual meeting of stockholders, the deadline for the notice under Rule 14a-19 will be the later of 60 calendar days before the date of the 2026 annual meeting or the 10th calendar day after we first publicly announce the date of the 2027 annual meeting of stockholders. The deadline under Rule 14a-19(b) is a minimum notice requirement that does not override or supersede the earlier deadline in our by-laws. A stockholder intending to solicit proxies in support of director nominees other than our nominees must satisfy the requirements of both our by-laws and Rule 14a-19, which imposes conditions beyond those in our by-laws. Rule 14a-19(b) requires that the stockholder’s notice to us must include the names of all nominees for whom the stockholder intends to solicit proxies and must include a statement that the stockholder intends to solicit the holders of shares representing at least 67% of the voting power of shares entitled to vote on the election of directors in support of director nominees other than our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285750</wp:posOffset>
            </wp:positionV>
            <wp:extent cx="102235" cy="3257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235" cy="32575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5260" w:space="200"/>
            <w:col w:w="4560"/>
          </w:cols>
          <w:pgMar w:left="580" w:top="97" w:right="1299" w:bottom="1440" w:gutter="0" w:footer="0" w:header="0"/>
          <w:type w:val="continuous"/>
        </w:sectPr>
      </w:pPr>
    </w:p>
    <w:tbl>
      <w:tblPr>
        <w:tblLayout w:type="fixed"/>
        <w:tblInd w:w="700" w:type="dxa"/>
        <w:tblCellMar>
          <w:top w:w="0" w:type="dxa"/>
          <w:left w:w="0" w:type="dxa"/>
          <w:bottom w:w="0" w:type="dxa"/>
          <w:right w:w="0" w:type="dxa"/>
        </w:tblCellMar>
      </w:tblPr>
      <w:tr>
        <w:trPr>
          <w:trHeight w:val="325"/>
        </w:trPr>
        <w:tc>
          <w:tcPr>
            <w:tcW w:w="120" w:type="dxa"/>
            <w:vAlign w:val="bottom"/>
          </w:tcPr>
          <w:p>
            <w:pPr>
              <w:spacing w:after="0" w:line="324" w:lineRule="exact"/>
              <w:rPr>
                <w:sz w:val="20"/>
                <w:szCs w:val="20"/>
                <w:color w:val="auto"/>
              </w:rPr>
            </w:pPr>
            <w:r>
              <w:rPr>
                <w:rFonts w:ascii="Arial" w:cs="Arial" w:eastAsia="Arial" w:hAnsi="Arial"/>
                <w:sz w:val="32"/>
                <w:szCs w:val="32"/>
                <w:b w:val="1"/>
                <w:bCs w:val="1"/>
                <w:color w:val="FFFFFF"/>
              </w:rPr>
              <w:t>​</w:t>
            </w:r>
          </w:p>
        </w:tc>
        <w:tc>
          <w:tcPr>
            <w:tcW w:w="9060" w:type="dxa"/>
            <w:vAlign w:val="bottom"/>
            <w:shd w:val="clear" w:color="auto" w:fill="395796"/>
          </w:tcPr>
          <w:p>
            <w:pPr>
              <w:ind w:left="4280"/>
              <w:spacing w:after="0"/>
              <w:rPr>
                <w:sz w:val="20"/>
                <w:szCs w:val="20"/>
                <w:color w:val="auto"/>
              </w:rPr>
            </w:pPr>
            <w:r>
              <w:rPr>
                <w:rFonts w:ascii="Arial" w:cs="Arial" w:eastAsia="Arial" w:hAnsi="Arial"/>
                <w:sz w:val="18"/>
                <w:szCs w:val="18"/>
                <w:color w:val="FFFFFF"/>
              </w:rPr>
              <w:t>​</w:t>
            </w:r>
          </w:p>
        </w:tc>
        <w:tc>
          <w:tcPr>
            <w:tcW w:w="80" w:type="dxa"/>
            <w:vAlign w:val="bottom"/>
          </w:tcPr>
          <w:p>
            <w:pPr>
              <w:spacing w:after="0" w:line="324" w:lineRule="exact"/>
              <w:rPr>
                <w:sz w:val="20"/>
                <w:szCs w:val="20"/>
                <w:color w:val="auto"/>
              </w:rPr>
            </w:pPr>
            <w:r>
              <w:rPr>
                <w:rFonts w:ascii="Arial" w:cs="Arial" w:eastAsia="Arial" w:hAnsi="Arial"/>
                <w:sz w:val="32"/>
                <w:szCs w:val="32"/>
                <w:b w:val="1"/>
                <w:bCs w:val="1"/>
                <w:color w:val="FFFFFF"/>
              </w:rPr>
              <w:t>​</w:t>
            </w:r>
          </w:p>
        </w:tc>
      </w:tr>
      <w:tr>
        <w:trPr>
          <w:trHeight w:val="401"/>
        </w:trPr>
        <w:tc>
          <w:tcPr>
            <w:tcW w:w="120" w:type="dxa"/>
            <w:vAlign w:val="bottom"/>
          </w:tcPr>
          <w:p>
            <w:pPr>
              <w:spacing w:after="0"/>
              <w:rPr>
                <w:sz w:val="24"/>
                <w:szCs w:val="24"/>
                <w:color w:val="auto"/>
              </w:rPr>
            </w:pPr>
          </w:p>
        </w:tc>
        <w:tc>
          <w:tcPr>
            <w:tcW w:w="9060" w:type="dxa"/>
            <w:vAlign w:val="bottom"/>
            <w:shd w:val="clear" w:color="auto" w:fill="395796"/>
          </w:tcPr>
          <w:p>
            <w:pPr>
              <w:spacing w:after="0"/>
              <w:rPr>
                <w:sz w:val="20"/>
                <w:szCs w:val="20"/>
                <w:color w:val="auto"/>
              </w:rPr>
            </w:pPr>
            <w:r>
              <w:rPr>
                <w:rFonts w:ascii="Arial" w:cs="Arial" w:eastAsia="Arial" w:hAnsi="Arial"/>
                <w:sz w:val="32"/>
                <w:szCs w:val="32"/>
                <w:b w:val="1"/>
                <w:bCs w:val="1"/>
                <w:color w:val="FFFFFF"/>
              </w:rPr>
              <w:t>ADDITIONAL INFORMATION</w:t>
            </w:r>
          </w:p>
        </w:tc>
        <w:tc>
          <w:tcPr>
            <w:tcW w:w="80" w:type="dxa"/>
            <w:vAlign w:val="bottom"/>
          </w:tcPr>
          <w:p>
            <w:pPr>
              <w:spacing w:after="0"/>
              <w:rPr>
                <w:sz w:val="24"/>
                <w:szCs w:val="24"/>
                <w:color w:val="auto"/>
              </w:rPr>
            </w:pPr>
          </w:p>
        </w:tc>
      </w:tr>
    </w:tbl>
    <w:p>
      <w:pPr>
        <w:spacing w:after="0" w:line="292" w:lineRule="exact"/>
        <w:rPr>
          <w:sz w:val="20"/>
          <w:szCs w:val="20"/>
          <w:color w:val="auto"/>
        </w:rPr>
      </w:pPr>
    </w:p>
    <w:p>
      <w:pPr>
        <w:jc w:val="both"/>
        <w:ind w:left="700"/>
        <w:spacing w:after="0" w:line="262" w:lineRule="auto"/>
        <w:rPr>
          <w:sz w:val="20"/>
          <w:szCs w:val="20"/>
          <w:color w:val="auto"/>
        </w:rPr>
      </w:pPr>
      <w:r>
        <w:rPr>
          <w:rFonts w:ascii="Arial" w:cs="Arial" w:eastAsia="Arial" w:hAnsi="Arial"/>
          <w:sz w:val="18"/>
          <w:szCs w:val="18"/>
          <w:i w:val="1"/>
          <w:iCs w:val="1"/>
          <w:color w:val="auto"/>
        </w:rPr>
        <w:t>Annual Report to Shareholders</w:t>
      </w:r>
      <w:r>
        <w:rPr>
          <w:rFonts w:ascii="Arial" w:cs="Arial" w:eastAsia="Arial" w:hAnsi="Arial"/>
          <w:sz w:val="18"/>
          <w:szCs w:val="18"/>
          <w:color w:val="auto"/>
        </w:rPr>
        <w:t>. A copy of our annual report on Form 10-K for fiscal year 2025 as filed with the SEC,</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with this proxy statement, is being mailed to stockholders of record as of April 15, 2026. The 2025 Annual Report contains detailed business and financial information about us. The 2025 Annual Report is not incorporated herein and is not deemed a part of this proxy statement.</w:t>
      </w:r>
    </w:p>
    <w:p>
      <w:pPr>
        <w:spacing w:after="0" w:line="68" w:lineRule="exact"/>
        <w:rPr>
          <w:sz w:val="20"/>
          <w:szCs w:val="20"/>
          <w:color w:val="auto"/>
        </w:rPr>
      </w:pPr>
    </w:p>
    <w:p>
      <w:pPr>
        <w:jc w:val="both"/>
        <w:ind w:left="700"/>
        <w:spacing w:after="0" w:line="230" w:lineRule="auto"/>
        <w:rPr>
          <w:sz w:val="20"/>
          <w:szCs w:val="20"/>
          <w:color w:val="auto"/>
        </w:rPr>
      </w:pPr>
      <w:r>
        <w:rPr>
          <w:rFonts w:ascii="Arial" w:cs="Arial" w:eastAsia="Arial" w:hAnsi="Arial"/>
          <w:sz w:val="18"/>
          <w:szCs w:val="18"/>
          <w:color w:val="auto"/>
        </w:rPr>
        <w:t>A copy of our 2025 Annual Report, excluding exhibits, may also be obtained by shareholders without charge by request to KVH Industries, Inc., 500 Wood Street, Unit 320,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Bristol, RI 02809, Attention: Eileen Pribula or by calling (401) 847-3327 and may be accessed on our website, www.kvh.com.</w:t>
      </w:r>
    </w:p>
    <w:p>
      <w:pPr>
        <w:spacing w:after="0" w:line="86"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i w:val="1"/>
          <w:iCs w:val="1"/>
          <w:color w:val="auto"/>
        </w:rPr>
        <w:t>Eliminating Duplicate Mailings</w:t>
      </w:r>
      <w:r>
        <w:rPr>
          <w:rFonts w:ascii="Arial" w:cs="Arial" w:eastAsia="Arial" w:hAnsi="Arial"/>
          <w:sz w:val="18"/>
          <w:szCs w:val="18"/>
          <w:color w:val="auto"/>
        </w:rPr>
        <w:t>. If you share an address with other KVH stockholders, you may receive notification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you are being sent only a single copy of the proxy materials (including a copy of this proxy statement and the 2025 Annual Report), unless your bank, broker or other intermediary that provides the notification receives contrary instructions from the affected stockholders. This practice, permitted under SEC rules and commonly referred to as “householding,” is designed to reduce expenses associated with proxy solicitations.</w:t>
      </w:r>
    </w:p>
    <w:p>
      <w:pPr>
        <w:spacing w:after="0" w:line="71" w:lineRule="exact"/>
        <w:rPr>
          <w:sz w:val="20"/>
          <w:szCs w:val="20"/>
          <w:color w:val="auto"/>
        </w:rPr>
      </w:pPr>
    </w:p>
    <w:p>
      <w:pPr>
        <w:jc w:val="both"/>
        <w:ind w:left="700"/>
        <w:spacing w:after="0" w:line="256" w:lineRule="auto"/>
        <w:rPr>
          <w:sz w:val="20"/>
          <w:szCs w:val="20"/>
          <w:color w:val="auto"/>
        </w:rPr>
      </w:pPr>
      <w:r>
        <w:rPr>
          <w:rFonts w:ascii="Arial" w:cs="Arial" w:eastAsia="Arial" w:hAnsi="Arial"/>
          <w:sz w:val="18"/>
          <w:szCs w:val="18"/>
          <w:color w:val="auto"/>
        </w:rPr>
        <w:t>If, at any time, you no longer wish to participate in householding and would prefer to receive a separate set of proxy materials, please notify your broker if your shares of common stock are held in a brokerage account or KVH if you hold registered shares of common stock. We will promptly deliver a separate copy of the proxy materials upon request. You can notify KVH by calling (401) 847-3327 or sending a written request to KVH Industries, Inc., 500 Wood Street, Unit 320,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Floor, Bristol, RI 02809, Attention: Eileen Pribula.</w:t>
      </w:r>
    </w:p>
    <w:p>
      <w:pPr>
        <w:sectPr>
          <w:pgSz w:w="11900" w:h="16838" w:orient="portrait"/>
          <w:cols w:equalWidth="0" w:num="1">
            <w:col w:w="10020"/>
          </w:cols>
          <w:pgMar w:left="580" w:top="97" w:right="1299"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6280"/>
        <w:spacing w:after="0"/>
        <w:rPr>
          <w:sz w:val="20"/>
          <w:szCs w:val="20"/>
          <w:color w:val="auto"/>
        </w:rPr>
      </w:pPr>
      <w:r>
        <w:rPr>
          <w:rFonts w:ascii="Arial" w:cs="Arial" w:eastAsia="Arial" w:hAnsi="Arial"/>
          <w:sz w:val="17"/>
          <w:szCs w:val="17"/>
          <w:color w:val="395796"/>
        </w:rPr>
        <w:t xml:space="preserve">KVH Industries, Inc. 2026 Proxy Statement  </w:t>
      </w:r>
      <w:r>
        <w:rPr>
          <w:rFonts w:ascii="Arial" w:cs="Arial" w:eastAsia="Arial" w:hAnsi="Arial"/>
          <w:sz w:val="17"/>
          <w:szCs w:val="17"/>
          <w:color w:val="000000"/>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20"/>
          </w:cols>
          <w:pgMar w:left="580" w:top="97" w:right="129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-81280</wp:posOffset>
            </wp:positionV>
            <wp:extent cx="6643370" cy="85979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56515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423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884237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bullet"/>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3"/>
      <w:numFmt w:val="bullet"/>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7"/>
      <w:numFmt w:val="bullet"/>
      <w:start w:val="1"/>
    </w:lvl>
  </w:abstractNum>
  <w:abstractNum w:abstractNumId="12">
    <w:nsid w:val="22221A70"/>
    <w:multiLevelType w:val="hybridMultilevel"/>
    <w:lvl w:ilvl="0">
      <w:lvlJc w:val="left"/>
      <w:lvlText w:val="9"/>
      <w:numFmt w:val="bullet"/>
      <w:start w:val="1"/>
    </w:lvl>
  </w:abstractNum>
  <w:abstractNum w:abstractNumId="13">
    <w:nsid w:val="4516DDE9"/>
    <w:multiLevelType w:val="hybridMultilevel"/>
    <w:lvl w:ilvl="0">
      <w:lvlJc w:val="left"/>
      <w:lvlText w:val="%1"/>
      <w:numFmt w:val="decimal"/>
      <w:start w:val="1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1"/>
      <w:numFmt w:val="decimal"/>
      <w:start w:val="13"/>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decimal"/>
      <w:start w:val="15"/>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7"/>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3"/>
    </w:lvl>
  </w:abstractNum>
  <w:abstractNum w:abstractNumId="24">
    <w:nsid w:val="2463B9EA"/>
    <w:multiLevelType w:val="hybridMultilevel"/>
    <w:lvl w:ilvl="0">
      <w:lvlJc w:val="left"/>
      <w:lvlText w:val="(%1)"/>
      <w:numFmt w:val="decimal"/>
      <w:start w:val="4"/>
    </w:lvl>
  </w:abstractNum>
  <w:abstractNum w:abstractNumId="25">
    <w:nsid w:val="5E884ADC"/>
    <w:multiLevelType w:val="hybridMultilevel"/>
    <w:lvl w:ilvl="0">
      <w:lvlJc w:val="left"/>
      <w:lvlText w:val="%1"/>
      <w:numFmt w:val="decimal"/>
      <w:start w:val="19"/>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lowerLetter"/>
      <w:start w:val="3"/>
    </w:lvl>
  </w:abstractNum>
  <w:abstractNum w:abstractNumId="28">
    <w:nsid w:val="580BD78F"/>
    <w:multiLevelType w:val="hybridMultilevel"/>
    <w:lvl w:ilvl="0">
      <w:lvlJc w:val="left"/>
      <w:lvlText w:val="%1"/>
      <w:numFmt w:val="decimal"/>
      <w:start w:val="2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23"/>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25"/>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27"/>
    </w:lvl>
  </w:abstractNum>
  <w:abstractNum w:abstractNumId="38">
    <w:nsid w:val="7A6D8D3C"/>
    <w:multiLevelType w:val="hybridMultilevel"/>
    <w:lvl w:ilvl="0">
      <w:lvlJc w:val="left"/>
      <w:lvlText w:val="(%1)"/>
      <w:numFmt w:val="lowerLetter"/>
      <w:start w:val="3"/>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3"/>
    </w:lvl>
  </w:abstractNum>
  <w:abstractNum w:abstractNumId="41">
    <w:nsid w:val="6DE91B18"/>
    <w:multiLevelType w:val="hybridMultilevel"/>
    <w:lvl w:ilvl="0">
      <w:lvlJc w:val="left"/>
      <w:lvlText w:val="%1"/>
      <w:numFmt w:val="decimal"/>
      <w:start w:val="29"/>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lowerRoman"/>
      <w:start w:val="1"/>
    </w:lvl>
  </w:abstractNum>
  <w:abstractNum w:abstractNumId="44">
    <w:nsid w:val="32FFF902"/>
    <w:multiLevelType w:val="hybridMultilevel"/>
    <w:lvl w:ilvl="0">
      <w:lvlJc w:val="left"/>
      <w:lvlText w:val="%1"/>
      <w:numFmt w:val="decimal"/>
      <w:start w:val="3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33"/>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2"/>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2026-04-28T16:45:16Z</dcterms:created>
  <dcterms:modified xsi:type="dcterms:W3CDTF">2026-04-28T16:45:16Z</dcterms:modified>
</cp:coreProperties>
</file>