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396875</wp:posOffset>
            </wp:positionH>
            <wp:positionV relativeFrom="page">
              <wp:posOffset>697230</wp:posOffset>
            </wp:positionV>
            <wp:extent cx="676338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763385" cy="8255"/>
                    </a:xfrm>
                    <a:prstGeom prst="rect">
                      <a:avLst/>
                    </a:prstGeom>
                    <a:noFill/>
                  </pic:spPr>
                </pic:pic>
              </a:graphicData>
            </a:graphic>
          </wp:anchor>
        </w:drawing>
        <w:drawing>
          <wp:anchor simplePos="0" relativeHeight="251657728" behindDoc="1" locked="0" layoutInCell="0" allowOverlap="1">
            <wp:simplePos x="0" y="0"/>
            <wp:positionH relativeFrom="page">
              <wp:posOffset>396875</wp:posOffset>
            </wp:positionH>
            <wp:positionV relativeFrom="page">
              <wp:posOffset>662940</wp:posOffset>
            </wp:positionV>
            <wp:extent cx="676338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763385" cy="8890"/>
                    </a:xfrm>
                    <a:prstGeom prst="rect">
                      <a:avLst/>
                    </a:prstGeom>
                    <a:noFill/>
                  </pic:spPr>
                </pic:pic>
              </a:graphicData>
            </a:graphic>
          </wp:anchor>
        </w:drawing>
        <w:t>UNITED STATES</w:t>
      </w:r>
    </w:p>
    <w:p>
      <w:pPr>
        <w:spacing w:after="0" w:line="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2251075</wp:posOffset>
            </wp:positionH>
            <wp:positionV relativeFrom="paragraph">
              <wp:posOffset>51435</wp:posOffset>
            </wp:positionV>
            <wp:extent cx="264033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640330" cy="8255"/>
                    </a:xfrm>
                    <a:prstGeom prst="rect">
                      <a:avLst/>
                    </a:prstGeom>
                    <a:noFill/>
                  </pic:spPr>
                </pic:pic>
              </a:graphicData>
            </a:graphic>
          </wp:anchor>
        </w:drawing>
      </w:r>
    </w:p>
    <w:p>
      <w:pPr>
        <w:spacing w:after="0" w:line="1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2251075</wp:posOffset>
            </wp:positionH>
            <wp:positionV relativeFrom="paragraph">
              <wp:posOffset>87630</wp:posOffset>
            </wp:positionV>
            <wp:extent cx="264033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640330" cy="8255"/>
                    </a:xfrm>
                    <a:prstGeom prst="rect">
                      <a:avLst/>
                    </a:prstGeom>
                    <a:noFill/>
                  </pic:spPr>
                </pic:pic>
              </a:graphicData>
            </a:graphic>
          </wp:anchor>
        </w:drawing>
      </w:r>
    </w:p>
    <w:p>
      <w:pPr>
        <w:spacing w:after="0" w:line="2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CURRENT REPORT</w:t>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1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June 10,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2251075</wp:posOffset>
            </wp:positionH>
            <wp:positionV relativeFrom="paragraph">
              <wp:posOffset>64770</wp:posOffset>
            </wp:positionV>
            <wp:extent cx="2640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640330" cy="8890"/>
                    </a:xfrm>
                    <a:prstGeom prst="rect">
                      <a:avLst/>
                    </a:prstGeom>
                    <a:noFill/>
                  </pic:spPr>
                </pic:pic>
              </a:graphicData>
            </a:graphic>
          </wp:anchor>
        </w:drawing>
      </w:r>
    </w:p>
    <w:p>
      <w:pPr>
        <w:spacing w:after="0" w:line="16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KVH Industries, Inc.</w:t>
      </w:r>
    </w:p>
    <w:p>
      <w:pPr>
        <w:spacing w:after="0" w:line="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2251075</wp:posOffset>
            </wp:positionH>
            <wp:positionV relativeFrom="paragraph">
              <wp:posOffset>55880</wp:posOffset>
            </wp:positionV>
            <wp:extent cx="26403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640330" cy="8890"/>
                    </a:xfrm>
                    <a:prstGeom prst="rect">
                      <a:avLst/>
                    </a:prstGeom>
                    <a:noFill/>
                  </pic:spPr>
                </pic:pic>
              </a:graphicData>
            </a:graphic>
          </wp:anchor>
        </w:drawing>
      </w:r>
    </w:p>
    <w:p>
      <w:pPr>
        <w:spacing w:after="0" w:line="316" w:lineRule="exact"/>
        <w:rPr>
          <w:sz w:val="24"/>
          <w:szCs w:val="24"/>
          <w:color w:val="auto"/>
        </w:rPr>
      </w:pPr>
    </w:p>
    <w:tbl>
      <w:tblPr>
        <w:tblLayout w:type="fixed"/>
        <w:tblInd w:w="880" w:type="dxa"/>
        <w:tblCellMar>
          <w:top w:w="0" w:type="dxa"/>
          <w:left w:w="0" w:type="dxa"/>
          <w:bottom w:w="0" w:type="dxa"/>
          <w:right w:w="0" w:type="dxa"/>
        </w:tblCellMar>
      </w:tblPr>
      <w:tr>
        <w:trPr>
          <w:trHeight w:val="238"/>
        </w:trPr>
        <w:tc>
          <w:tcPr>
            <w:tcW w:w="2940" w:type="dxa"/>
            <w:vAlign w:val="bottom"/>
          </w:tcPr>
          <w:p>
            <w:pPr>
              <w:jc w:val="center"/>
              <w:ind w:right="5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360" w:type="dxa"/>
            <w:vAlign w:val="bottom"/>
            <w:gridSpan w:val="2"/>
          </w:tcPr>
          <w:p>
            <w:pPr>
              <w:jc w:val="center"/>
              <w:ind w:left="164"/>
              <w:spacing w:after="0"/>
              <w:rPr>
                <w:sz w:val="20"/>
                <w:szCs w:val="20"/>
                <w:color w:val="auto"/>
              </w:rPr>
            </w:pPr>
            <w:r>
              <w:rPr>
                <w:rFonts w:ascii="Times New Roman" w:cs="Times New Roman" w:eastAsia="Times New Roman" w:hAnsi="Times New Roman"/>
                <w:sz w:val="18"/>
                <w:szCs w:val="18"/>
                <w:b w:val="1"/>
                <w:bCs w:val="1"/>
                <w:color w:val="auto"/>
                <w:w w:val="99"/>
              </w:rPr>
              <w:t>0-28082</w:t>
            </w:r>
          </w:p>
        </w:tc>
        <w:tc>
          <w:tcPr>
            <w:tcW w:w="400" w:type="dxa"/>
            <w:vAlign w:val="bottom"/>
          </w:tcPr>
          <w:p>
            <w:pPr>
              <w:spacing w:after="0"/>
              <w:rPr>
                <w:sz w:val="20"/>
                <w:szCs w:val="20"/>
                <w:color w:val="auto"/>
              </w:rPr>
            </w:pPr>
          </w:p>
        </w:tc>
        <w:tc>
          <w:tcPr>
            <w:tcW w:w="2400" w:type="dxa"/>
            <w:vAlign w:val="bottom"/>
            <w:vMerge w:val="restart"/>
          </w:tcPr>
          <w:p>
            <w:pPr>
              <w:jc w:val="right"/>
              <w:ind w:right="499"/>
              <w:spacing w:after="0"/>
              <w:rPr>
                <w:sz w:val="20"/>
                <w:szCs w:val="20"/>
                <w:color w:val="auto"/>
              </w:rPr>
            </w:pPr>
            <w:r>
              <w:rPr>
                <w:rFonts w:ascii="Times New Roman" w:cs="Times New Roman" w:eastAsia="Times New Roman" w:hAnsi="Times New Roman"/>
                <w:sz w:val="18"/>
                <w:szCs w:val="18"/>
                <w:b w:val="1"/>
                <w:bCs w:val="1"/>
                <w:color w:val="auto"/>
              </w:rPr>
              <w:t>05-0420589</w:t>
            </w:r>
          </w:p>
        </w:tc>
        <w:tc>
          <w:tcPr>
            <w:tcW w:w="0" w:type="dxa"/>
            <w:vAlign w:val="bottom"/>
          </w:tcPr>
          <w:p>
            <w:pPr>
              <w:spacing w:after="0"/>
              <w:rPr>
                <w:sz w:val="1"/>
                <w:szCs w:val="1"/>
                <w:color w:val="auto"/>
              </w:rPr>
            </w:pPr>
          </w:p>
        </w:tc>
      </w:tr>
      <w:tr>
        <w:trPr>
          <w:trHeight w:val="121"/>
        </w:trPr>
        <w:tc>
          <w:tcPr>
            <w:tcW w:w="29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4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0"/>
        </w:trPr>
        <w:tc>
          <w:tcPr>
            <w:tcW w:w="2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50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(Commission File Number)</w:t>
            </w:r>
          </w:p>
        </w:tc>
        <w:tc>
          <w:tcPr>
            <w:tcW w:w="24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(IRS Employer Identification No.)</w:t>
            </w:r>
          </w:p>
        </w:tc>
        <w:tc>
          <w:tcPr>
            <w:tcW w:w="0" w:type="dxa"/>
            <w:vAlign w:val="bottom"/>
          </w:tcPr>
          <w:p>
            <w:pPr>
              <w:spacing w:after="0"/>
              <w:rPr>
                <w:sz w:val="1"/>
                <w:szCs w:val="1"/>
                <w:color w:val="auto"/>
              </w:rPr>
            </w:pPr>
          </w:p>
        </w:tc>
      </w:tr>
      <w:tr>
        <w:trPr>
          <w:trHeight w:val="243"/>
        </w:trPr>
        <w:tc>
          <w:tcPr>
            <w:tcW w:w="2940" w:type="dxa"/>
            <w:vAlign w:val="bottom"/>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(State or Other Jurisdiction of Incorporation)</w:t>
            </w:r>
          </w:p>
        </w:tc>
        <w:tc>
          <w:tcPr>
            <w:tcW w:w="260" w:type="dxa"/>
            <w:vAlign w:val="bottom"/>
          </w:tcPr>
          <w:p>
            <w:pPr>
              <w:spacing w:after="0"/>
              <w:rPr>
                <w:sz w:val="21"/>
                <w:szCs w:val="21"/>
                <w:color w:val="auto"/>
              </w:rPr>
            </w:pPr>
          </w:p>
        </w:tc>
        <w:tc>
          <w:tcPr>
            <w:tcW w:w="3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9"/>
        </w:trPr>
        <w:tc>
          <w:tcPr>
            <w:tcW w:w="2940" w:type="dxa"/>
            <w:vAlign w:val="bottom"/>
          </w:tcPr>
          <w:p>
            <w:pPr>
              <w:spacing w:after="0"/>
              <w:rPr>
                <w:sz w:val="23"/>
                <w:szCs w:val="23"/>
                <w:color w:val="auto"/>
              </w:rPr>
            </w:pPr>
          </w:p>
        </w:tc>
        <w:tc>
          <w:tcPr>
            <w:tcW w:w="376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500 Wood Street, Unit 320, 1st Floor, Bristol, RI 02809</w:t>
            </w:r>
          </w:p>
        </w:tc>
        <w:tc>
          <w:tcPr>
            <w:tcW w:w="24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0"/>
        </w:trPr>
        <w:tc>
          <w:tcPr>
            <w:tcW w:w="2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50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i w:val="1"/>
                <w:iCs w:val="1"/>
                <w:color w:val="auto"/>
              </w:rPr>
              <w:t>(Address of Principal Executive Offices) (Zip Code)</w:t>
            </w:r>
          </w:p>
        </w:tc>
        <w:tc>
          <w:tcPr>
            <w:tcW w:w="2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06"/>
        </w:trPr>
        <w:tc>
          <w:tcPr>
            <w:tcW w:w="2940" w:type="dxa"/>
            <w:vAlign w:val="bottom"/>
          </w:tcPr>
          <w:p>
            <w:pPr>
              <w:spacing w:after="0"/>
              <w:rPr>
                <w:sz w:val="24"/>
                <w:szCs w:val="24"/>
                <w:color w:val="auto"/>
              </w:rPr>
            </w:pPr>
          </w:p>
        </w:tc>
        <w:tc>
          <w:tcPr>
            <w:tcW w:w="3360" w:type="dxa"/>
            <w:vAlign w:val="bottom"/>
            <w:gridSpan w:val="2"/>
          </w:tcPr>
          <w:p>
            <w:pPr>
              <w:jc w:val="center"/>
              <w:ind w:left="184"/>
              <w:spacing w:after="0"/>
              <w:rPr>
                <w:sz w:val="20"/>
                <w:szCs w:val="20"/>
                <w:color w:val="auto"/>
              </w:rPr>
            </w:pPr>
            <w:r>
              <w:rPr>
                <w:rFonts w:ascii="Times New Roman" w:cs="Times New Roman" w:eastAsia="Times New Roman" w:hAnsi="Times New Roman"/>
                <w:sz w:val="14"/>
                <w:szCs w:val="14"/>
                <w:b w:val="1"/>
                <w:bCs w:val="1"/>
                <w:color w:val="auto"/>
              </w:rPr>
              <w:t>(401) 847-3327</w:t>
            </w:r>
          </w:p>
        </w:tc>
        <w:tc>
          <w:tcPr>
            <w:tcW w:w="40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2940" w:type="dxa"/>
            <w:vAlign w:val="bottom"/>
          </w:tcPr>
          <w:p>
            <w:pPr>
              <w:spacing w:after="0"/>
              <w:rPr>
                <w:sz w:val="16"/>
                <w:szCs w:val="16"/>
                <w:color w:val="auto"/>
              </w:rPr>
            </w:pPr>
          </w:p>
        </w:tc>
        <w:tc>
          <w:tcPr>
            <w:tcW w:w="376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tc>
        <w:tc>
          <w:tcPr>
            <w:tcW w:w="2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1"/>
        </w:trPr>
        <w:tc>
          <w:tcPr>
            <w:tcW w:w="2940" w:type="dxa"/>
            <w:vAlign w:val="bottom"/>
          </w:tcPr>
          <w:p>
            <w:pPr>
              <w:spacing w:after="0"/>
              <w:rPr>
                <w:sz w:val="7"/>
                <w:szCs w:val="7"/>
                <w:color w:val="auto"/>
              </w:rPr>
            </w:pPr>
          </w:p>
        </w:tc>
        <w:tc>
          <w:tcPr>
            <w:tcW w:w="260" w:type="dxa"/>
            <w:vAlign w:val="bottom"/>
          </w:tcPr>
          <w:p>
            <w:pPr>
              <w:spacing w:after="0"/>
              <w:rPr>
                <w:sz w:val="7"/>
                <w:szCs w:val="7"/>
                <w:color w:val="auto"/>
              </w:rPr>
            </w:pPr>
          </w:p>
        </w:tc>
        <w:tc>
          <w:tcPr>
            <w:tcW w:w="3100" w:type="dxa"/>
            <w:vAlign w:val="bottom"/>
            <w:tcBorders>
              <w:bottom w:val="single" w:sz="8" w:color="auto"/>
            </w:tcBorders>
          </w:tcPr>
          <w:p>
            <w:pPr>
              <w:spacing w:after="0"/>
              <w:rPr>
                <w:sz w:val="7"/>
                <w:szCs w:val="7"/>
                <w:color w:val="auto"/>
              </w:rPr>
            </w:pPr>
          </w:p>
        </w:tc>
        <w:tc>
          <w:tcPr>
            <w:tcW w:w="400" w:type="dxa"/>
            <w:vAlign w:val="bottom"/>
          </w:tcPr>
          <w:p>
            <w:pPr>
              <w:spacing w:after="0"/>
              <w:rPr>
                <w:sz w:val="7"/>
                <w:szCs w:val="7"/>
                <w:color w:val="auto"/>
              </w:rPr>
            </w:pPr>
          </w:p>
        </w:tc>
        <w:tc>
          <w:tcPr>
            <w:tcW w:w="24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41"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216" w:lineRule="exact"/>
        <w:rPr>
          <w:sz w:val="24"/>
          <w:szCs w:val="24"/>
          <w:color w:val="auto"/>
        </w:rPr>
      </w:pPr>
    </w:p>
    <w:p>
      <w:pPr>
        <w:ind w:left="680" w:hanging="654"/>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79" w:lineRule="exact"/>
        <w:rPr>
          <w:rFonts w:ascii="MS PGothic" w:cs="MS PGothic" w:eastAsia="MS PGothic" w:hAnsi="MS PGothic"/>
          <w:sz w:val="18"/>
          <w:szCs w:val="18"/>
          <w:color w:val="auto"/>
        </w:rPr>
      </w:pPr>
    </w:p>
    <w:p>
      <w:pPr>
        <w:ind w:left="680" w:hanging="654"/>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65" w:lineRule="exact"/>
        <w:rPr>
          <w:rFonts w:ascii="MS PGothic" w:cs="MS PGothic" w:eastAsia="MS PGothic" w:hAnsi="MS PGothic"/>
          <w:sz w:val="18"/>
          <w:szCs w:val="18"/>
          <w:color w:val="auto"/>
        </w:rPr>
      </w:pPr>
    </w:p>
    <w:p>
      <w:pPr>
        <w:ind w:left="680" w:hanging="654"/>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92" w:lineRule="exact"/>
        <w:rPr>
          <w:rFonts w:ascii="MS PGothic" w:cs="MS PGothic" w:eastAsia="MS PGothic" w:hAnsi="MS PGothic"/>
          <w:sz w:val="18"/>
          <w:szCs w:val="18"/>
          <w:color w:val="auto"/>
        </w:rPr>
      </w:pPr>
    </w:p>
    <w:p>
      <w:pPr>
        <w:ind w:left="680" w:hanging="654"/>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37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auto"/>
        </w:rPr>
        <w:t>Securities registered pursuant to Section 12(b) of the Act:</w:t>
      </w:r>
    </w:p>
    <w:p>
      <w:pPr>
        <w:spacing w:after="0" w:line="58"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2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Title of Each Class</w:t>
            </w:r>
          </w:p>
        </w:tc>
        <w:tc>
          <w:tcPr>
            <w:tcW w:w="28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18"/>
        </w:trPr>
        <w:tc>
          <w:tcPr>
            <w:tcW w:w="41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7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2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212529"/>
              </w:rPr>
              <w:t>The Nasdaq Stock Market LLC</w:t>
            </w:r>
          </w:p>
        </w:tc>
      </w:tr>
      <w:tr>
        <w:trPr>
          <w:trHeight w:val="275"/>
        </w:trPr>
        <w:tc>
          <w:tcPr>
            <w:tcW w:w="424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28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7"/>
              </w:rPr>
              <w:t>KVHI</w:t>
            </w:r>
          </w:p>
        </w:tc>
        <w:tc>
          <w:tcPr>
            <w:tcW w:w="4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bl>
    <w:p>
      <w:pPr>
        <w:spacing w:after="0" w:line="200" w:lineRule="exact"/>
        <w:rPr>
          <w:sz w:val="24"/>
          <w:szCs w:val="24"/>
          <w:color w:val="auto"/>
        </w:rPr>
      </w:pPr>
    </w:p>
    <w:p>
      <w:pPr>
        <w:spacing w:after="0" w:line="241" w:lineRule="exact"/>
        <w:rPr>
          <w:sz w:val="24"/>
          <w:szCs w:val="24"/>
          <w:color w:val="auto"/>
        </w:rPr>
      </w:pPr>
    </w:p>
    <w:p>
      <w:pPr>
        <w:ind w:right="520"/>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527050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2"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the annual meeting of stockholders on June 10, 2026, our stockholders voted:</w:t>
      </w:r>
    </w:p>
    <w:p>
      <w:pPr>
        <w:spacing w:after="0" w:line="252" w:lineRule="exact"/>
        <w:rPr>
          <w:sz w:val="20"/>
          <w:szCs w:val="20"/>
          <w:color w:val="auto"/>
        </w:rPr>
      </w:pPr>
    </w:p>
    <w:p>
      <w:pPr>
        <w:ind w:left="480" w:hanging="148"/>
        <w:spacing w:after="0"/>
        <w:tabs>
          <w:tab w:leader="none" w:pos="4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David M. Tolley and Stephen H. Deckoff as Class III directors for a three-year term expiring in 2029;</w:t>
      </w:r>
    </w:p>
    <w:p>
      <w:pPr>
        <w:spacing w:after="0" w:line="252" w:lineRule="exact"/>
        <w:rPr>
          <w:rFonts w:ascii="Times New Roman" w:cs="Times New Roman" w:eastAsia="Times New Roman" w:hAnsi="Times New Roman"/>
          <w:sz w:val="18"/>
          <w:szCs w:val="18"/>
          <w:color w:val="auto"/>
        </w:rPr>
      </w:pPr>
    </w:p>
    <w:p>
      <w:pPr>
        <w:ind w:left="480" w:hanging="148"/>
        <w:spacing w:after="0"/>
        <w:tabs>
          <w:tab w:leader="none" w:pos="4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on an advisory (non-binding) basis, the compensation of our named executive officers in 2025; and</w:t>
      </w:r>
    </w:p>
    <w:p>
      <w:pPr>
        <w:spacing w:after="0" w:line="252" w:lineRule="exact"/>
        <w:rPr>
          <w:rFonts w:ascii="Times New Roman" w:cs="Times New Roman" w:eastAsia="Times New Roman" w:hAnsi="Times New Roman"/>
          <w:sz w:val="18"/>
          <w:szCs w:val="18"/>
          <w:color w:val="auto"/>
        </w:rPr>
      </w:pPr>
    </w:p>
    <w:p>
      <w:pPr>
        <w:ind w:right="480" w:firstLine="332"/>
        <w:spacing w:after="0" w:line="515" w:lineRule="auto"/>
        <w:tabs>
          <w:tab w:leader="none" w:pos="481"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appointment of Grant Thornton LLP as our independent registered public accounting firm for the year ending December 31, 2026. The final results of such voting, as certified by the independent inspector of election, are set forth below.</w:t>
      </w: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Proposal #1 </w:t>
      </w:r>
      <w:r>
        <w:rPr>
          <w:rFonts w:ascii="Times New Roman" w:cs="Times New Roman" w:eastAsia="Times New Roman" w:hAnsi="Times New Roman"/>
          <w:sz w:val="18"/>
          <w:szCs w:val="18"/>
          <w:color w:val="auto"/>
        </w:rPr>
        <w:t>- To elect two Class III directors to a three-year term.</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28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Name of Director</w:t>
            </w:r>
          </w:p>
        </w:tc>
        <w:tc>
          <w:tcPr>
            <w:tcW w:w="2120" w:type="dxa"/>
            <w:vAlign w:val="bottom"/>
            <w:gridSpan w:val="6"/>
            <w:vMerge w:val="restart"/>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Number of Votes Cast For</w:t>
            </w:r>
          </w:p>
        </w:tc>
        <w:tc>
          <w:tcPr>
            <w:tcW w:w="80" w:type="dxa"/>
            <w:vAlign w:val="bottom"/>
          </w:tcPr>
          <w:p>
            <w:pPr>
              <w:spacing w:after="0"/>
              <w:rPr>
                <w:sz w:val="17"/>
                <w:szCs w:val="17"/>
                <w:color w:val="auto"/>
              </w:rPr>
            </w:pPr>
          </w:p>
        </w:tc>
        <w:tc>
          <w:tcPr>
            <w:tcW w:w="2020" w:type="dxa"/>
            <w:vAlign w:val="bottom"/>
            <w:gridSpan w:val="3"/>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9"/>
              </w:rPr>
              <w:t>Number of Votes Cast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gridSpan w:val="3"/>
          </w:tcPr>
          <w:p>
            <w:pPr>
              <w:jc w:val="center"/>
              <w:ind w:left="39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2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Number of Broker</w:t>
            </w:r>
          </w:p>
        </w:tc>
        <w:tc>
          <w:tcPr>
            <w:tcW w:w="0" w:type="dxa"/>
            <w:vAlign w:val="bottom"/>
          </w:tcPr>
          <w:p>
            <w:pPr>
              <w:spacing w:after="0"/>
              <w:rPr>
                <w:sz w:val="1"/>
                <w:szCs w:val="1"/>
                <w:color w:val="auto"/>
              </w:rPr>
            </w:pPr>
          </w:p>
        </w:tc>
      </w:tr>
      <w:tr>
        <w:trPr>
          <w:trHeight w:val="243"/>
        </w:trPr>
        <w:tc>
          <w:tcPr>
            <w:tcW w:w="228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Nominee</w:t>
            </w:r>
          </w:p>
        </w:tc>
        <w:tc>
          <w:tcPr>
            <w:tcW w:w="2120" w:type="dxa"/>
            <w:vAlign w:val="bottom"/>
            <w:gridSpan w:val="6"/>
            <w:vMerge w:val="continue"/>
          </w:tcPr>
          <w:p>
            <w:pPr>
              <w:spacing w:after="0"/>
              <w:rPr>
                <w:sz w:val="21"/>
                <w:szCs w:val="21"/>
                <w:color w:val="auto"/>
              </w:rPr>
            </w:pPr>
          </w:p>
        </w:tc>
        <w:tc>
          <w:tcPr>
            <w:tcW w:w="80" w:type="dxa"/>
            <w:vAlign w:val="bottom"/>
          </w:tcPr>
          <w:p>
            <w:pPr>
              <w:spacing w:after="0"/>
              <w:rPr>
                <w:sz w:val="21"/>
                <w:szCs w:val="21"/>
                <w:color w:val="auto"/>
              </w:rPr>
            </w:pPr>
          </w:p>
        </w:tc>
        <w:tc>
          <w:tcPr>
            <w:tcW w:w="2020" w:type="dxa"/>
            <w:vAlign w:val="bottom"/>
            <w:gridSpan w:val="3"/>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8"/>
              </w:rPr>
              <w:t>Against</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60" w:type="dxa"/>
            <w:vAlign w:val="bottom"/>
            <w:gridSpan w:val="3"/>
          </w:tcPr>
          <w:p>
            <w:pPr>
              <w:jc w:val="center"/>
              <w:ind w:left="430"/>
              <w:spacing w:after="0"/>
              <w:rPr>
                <w:sz w:val="20"/>
                <w:szCs w:val="20"/>
                <w:color w:val="auto"/>
              </w:rPr>
            </w:pPr>
            <w:r>
              <w:rPr>
                <w:rFonts w:ascii="Times New Roman" w:cs="Times New Roman" w:eastAsia="Times New Roman" w:hAnsi="Times New Roman"/>
                <w:sz w:val="18"/>
                <w:szCs w:val="18"/>
                <w:b w:val="1"/>
                <w:bCs w:val="1"/>
                <w:color w:val="auto"/>
                <w:w w:val="98"/>
              </w:rPr>
              <w:t>Abstentions</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2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8"/>
              </w:rPr>
              <w:t>Non-Votes</w:t>
            </w:r>
          </w:p>
        </w:tc>
        <w:tc>
          <w:tcPr>
            <w:tcW w:w="0" w:type="dxa"/>
            <w:vAlign w:val="bottom"/>
          </w:tcPr>
          <w:p>
            <w:pPr>
              <w:spacing w:after="0"/>
              <w:rPr>
                <w:sz w:val="1"/>
                <w:szCs w:val="1"/>
                <w:color w:val="auto"/>
              </w:rPr>
            </w:pPr>
          </w:p>
        </w:tc>
      </w:tr>
      <w:tr>
        <w:trPr>
          <w:trHeight w:val="218"/>
        </w:trPr>
        <w:tc>
          <w:tcPr>
            <w:tcW w:w="21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David M. Tolley</w:t>
            </w:r>
          </w:p>
        </w:tc>
        <w:tc>
          <w:tcPr>
            <w:tcW w:w="10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9"/>
              </w:rPr>
              <w:t>9,904,925</w:t>
            </w:r>
          </w:p>
        </w:tc>
        <w:tc>
          <w:tcPr>
            <w:tcW w:w="6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20" w:type="dxa"/>
            <w:vAlign w:val="bottom"/>
            <w:tcBorders>
              <w:top w:val="single" w:sz="8" w:color="auto"/>
            </w:tcBorders>
            <w:gridSpan w:val="3"/>
          </w:tcPr>
          <w:p>
            <w:pPr>
              <w:jc w:val="center"/>
              <w:ind w:left="70"/>
              <w:spacing w:after="0"/>
              <w:rPr>
                <w:sz w:val="20"/>
                <w:szCs w:val="20"/>
                <w:color w:val="auto"/>
              </w:rPr>
            </w:pPr>
            <w:r>
              <w:rPr>
                <w:rFonts w:ascii="Times New Roman" w:cs="Times New Roman" w:eastAsia="Times New Roman" w:hAnsi="Times New Roman"/>
                <w:sz w:val="18"/>
                <w:szCs w:val="18"/>
                <w:color w:val="auto"/>
                <w:w w:val="97"/>
              </w:rPr>
              <w:t>4,030,794</w:t>
            </w:r>
          </w:p>
        </w:tc>
        <w:tc>
          <w:tcPr>
            <w:tcW w:w="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tcBorders>
              <w:top w:val="single" w:sz="8" w:color="auto"/>
            </w:tcBorders>
            <w:gridSpan w:val="3"/>
          </w:tcPr>
          <w:p>
            <w:pPr>
              <w:jc w:val="center"/>
              <w:ind w:left="430"/>
              <w:spacing w:after="0"/>
              <w:rPr>
                <w:sz w:val="20"/>
                <w:szCs w:val="20"/>
                <w:color w:val="auto"/>
              </w:rPr>
            </w:pPr>
            <w:r>
              <w:rPr>
                <w:rFonts w:ascii="Times New Roman" w:cs="Times New Roman" w:eastAsia="Times New Roman" w:hAnsi="Times New Roman"/>
                <w:sz w:val="18"/>
                <w:szCs w:val="18"/>
                <w:color w:val="auto"/>
              </w:rPr>
              <w:t>2,089</w:t>
            </w:r>
          </w:p>
        </w:tc>
        <w:tc>
          <w:tcPr>
            <w:tcW w:w="10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3,303,933</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28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auto"/>
              </w:rPr>
              <w:t>Stephen H. Deckoff</w:t>
            </w: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9"/>
              </w:rPr>
              <w:t>7,601,581</w:t>
            </w:r>
          </w:p>
        </w:tc>
        <w:tc>
          <w:tcPr>
            <w:tcW w:w="640" w:type="dxa"/>
            <w:vAlign w:val="bottom"/>
          </w:tcPr>
          <w:p>
            <w:pPr>
              <w:spacing w:after="0"/>
              <w:rPr>
                <w:sz w:val="20"/>
                <w:szCs w:val="20"/>
                <w:color w:val="auto"/>
              </w:rPr>
            </w:pPr>
          </w:p>
        </w:tc>
        <w:tc>
          <w:tcPr>
            <w:tcW w:w="2100" w:type="dxa"/>
            <w:vAlign w:val="bottom"/>
            <w:gridSpan w:val="4"/>
          </w:tcPr>
          <w:p>
            <w:pPr>
              <w:jc w:val="center"/>
              <w:ind w:left="150"/>
              <w:spacing w:after="0"/>
              <w:rPr>
                <w:sz w:val="20"/>
                <w:szCs w:val="20"/>
                <w:color w:val="auto"/>
              </w:rPr>
            </w:pPr>
            <w:r>
              <w:rPr>
                <w:rFonts w:ascii="Times New Roman" w:cs="Times New Roman" w:eastAsia="Times New Roman" w:hAnsi="Times New Roman"/>
                <w:sz w:val="18"/>
                <w:szCs w:val="18"/>
                <w:color w:val="auto"/>
                <w:w w:val="97"/>
              </w:rPr>
              <w:t>6,334,009</w:t>
            </w:r>
          </w:p>
        </w:tc>
        <w:tc>
          <w:tcPr>
            <w:tcW w:w="1900" w:type="dxa"/>
            <w:vAlign w:val="bottom"/>
            <w:gridSpan w:val="5"/>
          </w:tcPr>
          <w:p>
            <w:pPr>
              <w:jc w:val="center"/>
              <w:ind w:left="670"/>
              <w:spacing w:after="0"/>
              <w:rPr>
                <w:sz w:val="20"/>
                <w:szCs w:val="20"/>
                <w:color w:val="auto"/>
              </w:rPr>
            </w:pPr>
            <w:r>
              <w:rPr>
                <w:rFonts w:ascii="Times New Roman" w:cs="Times New Roman" w:eastAsia="Times New Roman" w:hAnsi="Times New Roman"/>
                <w:sz w:val="18"/>
                <w:szCs w:val="18"/>
                <w:color w:val="auto"/>
              </w:rPr>
              <w:t>2,218</w:t>
            </w:r>
          </w:p>
        </w:tc>
        <w:tc>
          <w:tcPr>
            <w:tcW w:w="2780" w:type="dxa"/>
            <w:vAlign w:val="bottom"/>
            <w:gridSpan w:val="4"/>
          </w:tcPr>
          <w:p>
            <w:pPr>
              <w:jc w:val="center"/>
              <w:ind w:left="530"/>
              <w:spacing w:after="0"/>
              <w:rPr>
                <w:sz w:val="20"/>
                <w:szCs w:val="20"/>
                <w:color w:val="auto"/>
              </w:rPr>
            </w:pPr>
            <w:r>
              <w:rPr>
                <w:rFonts w:ascii="Times New Roman" w:cs="Times New Roman" w:eastAsia="Times New Roman" w:hAnsi="Times New Roman"/>
                <w:sz w:val="18"/>
                <w:szCs w:val="18"/>
                <w:color w:val="auto"/>
                <w:w w:val="99"/>
              </w:rPr>
              <w:t>3,303,933</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27"/>
        </w:trPr>
        <w:tc>
          <w:tcPr>
            <w:tcW w:w="11240" w:type="dxa"/>
            <w:vAlign w:val="bottom"/>
            <w:gridSpan w:val="24"/>
          </w:tcPr>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Proposal #2 </w:t>
            </w:r>
            <w:r>
              <w:rPr>
                <w:rFonts w:ascii="Times New Roman" w:cs="Times New Roman" w:eastAsia="Times New Roman" w:hAnsi="Times New Roman"/>
                <w:sz w:val="18"/>
                <w:szCs w:val="18"/>
                <w:color w:val="auto"/>
              </w:rPr>
              <w:t>- To approve, on an advisory (non-binding) basis, the compensation of our named executive officers in 2025.</w:t>
            </w:r>
          </w:p>
        </w:tc>
        <w:tc>
          <w:tcPr>
            <w:tcW w:w="0" w:type="dxa"/>
            <w:vAlign w:val="bottom"/>
          </w:tcPr>
          <w:p>
            <w:pPr>
              <w:spacing w:after="0"/>
              <w:rPr>
                <w:sz w:val="1"/>
                <w:szCs w:val="1"/>
                <w:color w:val="auto"/>
              </w:rPr>
            </w:pPr>
          </w:p>
        </w:tc>
      </w:tr>
      <w:tr>
        <w:trPr>
          <w:trHeight w:val="450"/>
        </w:trPr>
        <w:tc>
          <w:tcPr>
            <w:tcW w:w="2900" w:type="dxa"/>
            <w:vAlign w:val="bottom"/>
            <w:gridSpan w:val="6"/>
            <w:vMerge w:val="restart"/>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Number of Votes Cast For</w:t>
            </w:r>
          </w:p>
        </w:tc>
        <w:tc>
          <w:tcPr>
            <w:tcW w:w="3600" w:type="dxa"/>
            <w:vAlign w:val="bottom"/>
            <w:gridSpan w:val="7"/>
            <w:vMerge w:val="restart"/>
          </w:tcPr>
          <w:p>
            <w:pPr>
              <w:jc w:val="center"/>
              <w:ind w:right="1000"/>
              <w:spacing w:after="0"/>
              <w:rPr>
                <w:sz w:val="20"/>
                <w:szCs w:val="20"/>
                <w:color w:val="auto"/>
              </w:rPr>
            </w:pPr>
            <w:r>
              <w:rPr>
                <w:rFonts w:ascii="Times New Roman" w:cs="Times New Roman" w:eastAsia="Times New Roman" w:hAnsi="Times New Roman"/>
                <w:sz w:val="18"/>
                <w:szCs w:val="18"/>
                <w:b w:val="1"/>
                <w:bCs w:val="1"/>
                <w:color w:val="auto"/>
                <w:w w:val="99"/>
              </w:rPr>
              <w:t>Number of Votes Cast Against</w:t>
            </w:r>
          </w:p>
        </w:tc>
        <w:tc>
          <w:tcPr>
            <w:tcW w:w="1900" w:type="dxa"/>
            <w:vAlign w:val="bottom"/>
            <w:gridSpan w:val="5"/>
          </w:tcPr>
          <w:p>
            <w:pPr>
              <w:jc w:val="center"/>
              <w:ind w:right="88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20" w:type="dxa"/>
            <w:vAlign w:val="bottom"/>
            <w:gridSpan w:val="3"/>
          </w:tcPr>
          <w:p>
            <w:pPr>
              <w:jc w:val="center"/>
              <w:ind w:right="560"/>
              <w:spacing w:after="0"/>
              <w:rPr>
                <w:sz w:val="20"/>
                <w:szCs w:val="20"/>
                <w:color w:val="auto"/>
              </w:rPr>
            </w:pPr>
            <w:r>
              <w:rPr>
                <w:rFonts w:ascii="Times New Roman" w:cs="Times New Roman" w:eastAsia="Times New Roman" w:hAnsi="Times New Roman"/>
                <w:sz w:val="18"/>
                <w:szCs w:val="18"/>
                <w:b w:val="1"/>
                <w:bCs w:val="1"/>
                <w:color w:val="auto"/>
                <w:w w:val="99"/>
              </w:rPr>
              <w:t>Number of Broker</w:t>
            </w:r>
          </w:p>
        </w:tc>
        <w:tc>
          <w:tcPr>
            <w:tcW w:w="0" w:type="dxa"/>
            <w:vAlign w:val="bottom"/>
          </w:tcPr>
          <w:p>
            <w:pPr>
              <w:spacing w:after="0"/>
              <w:rPr>
                <w:sz w:val="1"/>
                <w:szCs w:val="1"/>
                <w:color w:val="auto"/>
              </w:rPr>
            </w:pPr>
          </w:p>
        </w:tc>
      </w:tr>
      <w:tr>
        <w:trPr>
          <w:trHeight w:val="238"/>
        </w:trPr>
        <w:tc>
          <w:tcPr>
            <w:tcW w:w="2900" w:type="dxa"/>
            <w:vAlign w:val="bottom"/>
            <w:gridSpan w:val="6"/>
            <w:vMerge w:val="continue"/>
          </w:tcPr>
          <w:p>
            <w:pPr>
              <w:spacing w:after="0"/>
              <w:rPr>
                <w:sz w:val="20"/>
                <w:szCs w:val="20"/>
                <w:color w:val="auto"/>
              </w:rPr>
            </w:pPr>
          </w:p>
        </w:tc>
        <w:tc>
          <w:tcPr>
            <w:tcW w:w="3600" w:type="dxa"/>
            <w:vAlign w:val="bottom"/>
            <w:gridSpan w:val="7"/>
            <w:vMerge w:val="continue"/>
          </w:tcPr>
          <w:p>
            <w:pPr>
              <w:spacing w:after="0"/>
              <w:rPr>
                <w:sz w:val="20"/>
                <w:szCs w:val="20"/>
                <w:color w:val="auto"/>
              </w:rPr>
            </w:pPr>
          </w:p>
        </w:tc>
        <w:tc>
          <w:tcPr>
            <w:tcW w:w="1900" w:type="dxa"/>
            <w:vAlign w:val="bottom"/>
            <w:gridSpan w:val="5"/>
          </w:tcPr>
          <w:p>
            <w:pPr>
              <w:jc w:val="center"/>
              <w:ind w:right="840"/>
              <w:spacing w:after="0"/>
              <w:rPr>
                <w:sz w:val="20"/>
                <w:szCs w:val="20"/>
                <w:color w:val="auto"/>
              </w:rPr>
            </w:pPr>
            <w:r>
              <w:rPr>
                <w:rFonts w:ascii="Times New Roman" w:cs="Times New Roman" w:eastAsia="Times New Roman" w:hAnsi="Times New Roman"/>
                <w:sz w:val="18"/>
                <w:szCs w:val="18"/>
                <w:b w:val="1"/>
                <w:bCs w:val="1"/>
                <w:color w:val="auto"/>
                <w:w w:val="98"/>
              </w:rPr>
              <w:t>Abstentions</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20" w:type="dxa"/>
            <w:vAlign w:val="bottom"/>
            <w:gridSpan w:val="3"/>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w w:val="96"/>
              </w:rPr>
              <w:t>Non-Votes</w:t>
            </w:r>
          </w:p>
        </w:tc>
        <w:tc>
          <w:tcPr>
            <w:tcW w:w="0" w:type="dxa"/>
            <w:vAlign w:val="bottom"/>
          </w:tcPr>
          <w:p>
            <w:pPr>
              <w:spacing w:after="0"/>
              <w:rPr>
                <w:sz w:val="1"/>
                <w:szCs w:val="1"/>
                <w:color w:val="auto"/>
              </w:rPr>
            </w:pPr>
          </w:p>
        </w:tc>
      </w:tr>
      <w:tr>
        <w:trPr>
          <w:trHeight w:val="228"/>
        </w:trPr>
        <w:tc>
          <w:tcPr>
            <w:tcW w:w="214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11,616,563</w:t>
            </w:r>
          </w:p>
        </w:tc>
        <w:tc>
          <w:tcPr>
            <w:tcW w:w="10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660" w:type="dxa"/>
            <w:vAlign w:val="bottom"/>
            <w:tcBorders>
              <w:top w:val="single" w:sz="8" w:color="auto"/>
            </w:tcBorders>
            <w:gridSpan w:val="5"/>
          </w:tcPr>
          <w:p>
            <w:pPr>
              <w:jc w:val="right"/>
              <w:ind w:right="910"/>
              <w:spacing w:after="0"/>
              <w:rPr>
                <w:sz w:val="20"/>
                <w:szCs w:val="20"/>
                <w:color w:val="auto"/>
              </w:rPr>
            </w:pPr>
            <w:r>
              <w:rPr>
                <w:rFonts w:ascii="Times New Roman" w:cs="Times New Roman" w:eastAsia="Times New Roman" w:hAnsi="Times New Roman"/>
                <w:sz w:val="18"/>
                <w:szCs w:val="18"/>
                <w:color w:val="auto"/>
              </w:rPr>
              <w:t>2,236,796</w:t>
            </w:r>
          </w:p>
        </w:tc>
        <w:tc>
          <w:tcPr>
            <w:tcW w:w="10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gridSpan w:val="3"/>
          </w:tcPr>
          <w:p>
            <w:pPr>
              <w:jc w:val="center"/>
              <w:ind w:left="30"/>
              <w:spacing w:after="0"/>
              <w:rPr>
                <w:sz w:val="20"/>
                <w:szCs w:val="20"/>
                <w:color w:val="auto"/>
              </w:rPr>
            </w:pPr>
            <w:r>
              <w:rPr>
                <w:rFonts w:ascii="Times New Roman" w:cs="Times New Roman" w:eastAsia="Times New Roman" w:hAnsi="Times New Roman"/>
                <w:sz w:val="18"/>
                <w:szCs w:val="18"/>
                <w:color w:val="auto"/>
              </w:rPr>
              <w:t>84,449</w:t>
            </w:r>
          </w:p>
        </w:tc>
        <w:tc>
          <w:tcPr>
            <w:tcW w:w="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80" w:type="dxa"/>
            <w:vAlign w:val="bottom"/>
            <w:tcBorders>
              <w:top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3,303,933</w:t>
            </w:r>
          </w:p>
        </w:tc>
        <w:tc>
          <w:tcPr>
            <w:tcW w:w="4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535"/>
        </w:trPr>
        <w:tc>
          <w:tcPr>
            <w:tcW w:w="11240" w:type="dxa"/>
            <w:vAlign w:val="bottom"/>
            <w:gridSpan w:val="24"/>
          </w:tcPr>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Proposal #3 </w:t>
            </w:r>
            <w:r>
              <w:rPr>
                <w:rFonts w:ascii="Times New Roman" w:cs="Times New Roman" w:eastAsia="Times New Roman" w:hAnsi="Times New Roman"/>
                <w:sz w:val="18"/>
                <w:szCs w:val="18"/>
                <w:color w:val="auto"/>
              </w:rPr>
              <w:t>- To ratify the appointment of Grant Thornton LLP as our independent registered public accounting firm.</w:t>
            </w:r>
          </w:p>
        </w:tc>
        <w:tc>
          <w:tcPr>
            <w:tcW w:w="0" w:type="dxa"/>
            <w:vAlign w:val="bottom"/>
          </w:tcPr>
          <w:p>
            <w:pPr>
              <w:spacing w:after="0"/>
              <w:rPr>
                <w:sz w:val="1"/>
                <w:szCs w:val="1"/>
                <w:color w:val="auto"/>
              </w:rPr>
            </w:pPr>
          </w:p>
        </w:tc>
      </w:tr>
      <w:tr>
        <w:trPr>
          <w:trHeight w:val="499"/>
        </w:trPr>
        <w:tc>
          <w:tcPr>
            <w:tcW w:w="2900" w:type="dxa"/>
            <w:vAlign w:val="bottom"/>
            <w:gridSpan w:val="6"/>
          </w:tcPr>
          <w:p>
            <w:pPr>
              <w:jc w:val="center"/>
              <w:ind w:left="690"/>
              <w:spacing w:after="0"/>
              <w:rPr>
                <w:sz w:val="20"/>
                <w:szCs w:val="20"/>
                <w:color w:val="auto"/>
              </w:rPr>
            </w:pPr>
            <w:r>
              <w:rPr>
                <w:rFonts w:ascii="Times New Roman" w:cs="Times New Roman" w:eastAsia="Times New Roman" w:hAnsi="Times New Roman"/>
                <w:sz w:val="18"/>
                <w:szCs w:val="18"/>
                <w:b w:val="1"/>
                <w:bCs w:val="1"/>
                <w:color w:val="auto"/>
                <w:w w:val="98"/>
              </w:rPr>
              <w:t>Number of Votes Cast For</w:t>
            </w: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00" w:type="dxa"/>
            <w:vAlign w:val="bottom"/>
            <w:gridSpan w:val="9"/>
          </w:tcPr>
          <w:p>
            <w:pPr>
              <w:jc w:val="center"/>
              <w:ind w:right="1600"/>
              <w:spacing w:after="0"/>
              <w:rPr>
                <w:sz w:val="20"/>
                <w:szCs w:val="20"/>
                <w:color w:val="auto"/>
              </w:rPr>
            </w:pPr>
            <w:r>
              <w:rPr>
                <w:rFonts w:ascii="Times New Roman" w:cs="Times New Roman" w:eastAsia="Times New Roman" w:hAnsi="Times New Roman"/>
                <w:sz w:val="18"/>
                <w:szCs w:val="18"/>
                <w:b w:val="1"/>
                <w:bCs w:val="1"/>
                <w:color w:val="auto"/>
                <w:w w:val="99"/>
              </w:rPr>
              <w:t>Number of Votes Cast Against</w:t>
            </w:r>
          </w:p>
        </w:tc>
        <w:tc>
          <w:tcPr>
            <w:tcW w:w="2840" w:type="dxa"/>
            <w:vAlign w:val="bottom"/>
            <w:gridSpan w:val="6"/>
          </w:tcPr>
          <w:p>
            <w:pPr>
              <w:jc w:val="center"/>
              <w:ind w:right="900"/>
              <w:spacing w:after="0"/>
              <w:rPr>
                <w:sz w:val="20"/>
                <w:szCs w:val="20"/>
                <w:color w:val="auto"/>
              </w:rPr>
            </w:pPr>
            <w:r>
              <w:rPr>
                <w:rFonts w:ascii="Times New Roman" w:cs="Times New Roman" w:eastAsia="Times New Roman" w:hAnsi="Times New Roman"/>
                <w:sz w:val="18"/>
                <w:szCs w:val="18"/>
                <w:b w:val="1"/>
                <w:bCs w:val="1"/>
                <w:color w:val="auto"/>
                <w:w w:val="99"/>
              </w:rPr>
              <w:t>Number of Abstentions</w:t>
            </w:r>
          </w:p>
        </w:tc>
        <w:tc>
          <w:tcPr>
            <w:tcW w:w="0" w:type="dxa"/>
            <w:vAlign w:val="bottom"/>
          </w:tcPr>
          <w:p>
            <w:pPr>
              <w:spacing w:after="0"/>
              <w:rPr>
                <w:sz w:val="1"/>
                <w:szCs w:val="1"/>
                <w:color w:val="auto"/>
              </w:rPr>
            </w:pPr>
          </w:p>
        </w:tc>
      </w:tr>
      <w:tr>
        <w:trPr>
          <w:trHeight w:val="228"/>
        </w:trPr>
        <w:tc>
          <w:tcPr>
            <w:tcW w:w="2280" w:type="dxa"/>
            <w:vAlign w:val="bottom"/>
            <w:tcBorders>
              <w:top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16,991,919</w:t>
            </w:r>
          </w:p>
        </w:tc>
        <w:tc>
          <w:tcPr>
            <w:tcW w:w="46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100" w:type="dxa"/>
            <w:vAlign w:val="bottom"/>
            <w:tcBorders>
              <w:top w:val="single" w:sz="8" w:color="auto"/>
            </w:tcBorders>
            <w:gridSpan w:val="4"/>
          </w:tcPr>
          <w:p>
            <w:pPr>
              <w:jc w:val="right"/>
              <w:ind w:right="620"/>
              <w:spacing w:after="0"/>
              <w:rPr>
                <w:sz w:val="20"/>
                <w:szCs w:val="20"/>
                <w:color w:val="auto"/>
              </w:rPr>
            </w:pPr>
            <w:r>
              <w:rPr>
                <w:rFonts w:ascii="Times New Roman" w:cs="Times New Roman" w:eastAsia="Times New Roman" w:hAnsi="Times New Roman"/>
                <w:sz w:val="18"/>
                <w:szCs w:val="18"/>
                <w:color w:val="auto"/>
              </w:rPr>
              <w:t>239,754</w:t>
            </w:r>
          </w:p>
        </w:tc>
        <w:tc>
          <w:tcPr>
            <w:tcW w:w="1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2780" w:type="dxa"/>
            <w:vAlign w:val="bottom"/>
            <w:tcBorders>
              <w:top w:val="single" w:sz="8" w:color="auto"/>
            </w:tcBorders>
            <w:gridSpan w:val="4"/>
          </w:tcPr>
          <w:p>
            <w:pPr>
              <w:jc w:val="right"/>
              <w:ind w:right="1470"/>
              <w:spacing w:after="0"/>
              <w:rPr>
                <w:sz w:val="20"/>
                <w:szCs w:val="20"/>
                <w:color w:val="auto"/>
              </w:rPr>
            </w:pPr>
            <w:r>
              <w:rPr>
                <w:rFonts w:ascii="Times New Roman" w:cs="Times New Roman" w:eastAsia="Times New Roman" w:hAnsi="Times New Roman"/>
                <w:sz w:val="18"/>
                <w:szCs w:val="18"/>
                <w:color w:val="auto"/>
              </w:rPr>
              <w:t>10,068</w:t>
            </w:r>
          </w:p>
        </w:tc>
        <w:tc>
          <w:tcPr>
            <w:tcW w:w="4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60"/>
        </w:trPr>
        <w:tc>
          <w:tcPr>
            <w:tcW w:w="2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1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44" w:lineRule="exact"/>
        <w:rPr>
          <w:sz w:val="20"/>
          <w:szCs w:val="20"/>
          <w:color w:val="auto"/>
        </w:rPr>
      </w:pPr>
    </w:p>
    <w:tbl>
      <w:tblPr>
        <w:tblLayout w:type="fixed"/>
        <w:tblInd w:w="20" w:type="dxa"/>
        <w:tblCellMar>
          <w:top w:w="0" w:type="dxa"/>
          <w:left w:w="0" w:type="dxa"/>
          <w:bottom w:w="0" w:type="dxa"/>
          <w:right w:w="0" w:type="dxa"/>
        </w:tblCellMar>
      </w:tblPr>
      <w:tr>
        <w:trPr>
          <w:trHeight w:val="233"/>
        </w:trPr>
        <w:tc>
          <w:tcPr>
            <w:tcW w:w="3280" w:type="dxa"/>
            <w:vAlign w:val="bottom"/>
          </w:tcPr>
          <w:p>
            <w:pPr>
              <w:spacing w:after="0"/>
              <w:rPr>
                <w:sz w:val="20"/>
                <w:szCs w:val="20"/>
                <w:color w:val="auto"/>
              </w:rPr>
            </w:pPr>
          </w:p>
        </w:tc>
        <w:tc>
          <w:tcPr>
            <w:tcW w:w="7940" w:type="dxa"/>
            <w:vAlign w:val="bottom"/>
            <w:gridSpan w:val="2"/>
          </w:tcPr>
          <w:p>
            <w:pPr>
              <w:ind w:left="1840"/>
              <w:spacing w:after="0"/>
              <w:rPr>
                <w:sz w:val="20"/>
                <w:szCs w:val="20"/>
                <w:color w:val="auto"/>
              </w:rPr>
            </w:pPr>
            <w:r>
              <w:rPr>
                <w:rFonts w:ascii="Times New Roman" w:cs="Times New Roman" w:eastAsia="Times New Roman" w:hAnsi="Times New Roman"/>
                <w:sz w:val="18"/>
                <w:szCs w:val="18"/>
                <w:b w:val="1"/>
                <w:bCs w:val="1"/>
                <w:color w:val="auto"/>
              </w:rPr>
              <w:t>KVH INDUSTRIES, INC.</w:t>
            </w:r>
          </w:p>
        </w:tc>
      </w:tr>
      <w:tr>
        <w:trPr>
          <w:trHeight w:val="234"/>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Date: June 12, 2026</w:t>
            </w:r>
          </w:p>
        </w:tc>
        <w:tc>
          <w:tcPr>
            <w:tcW w:w="2560" w:type="dxa"/>
            <w:vAlign w:val="bottom"/>
          </w:tcPr>
          <w:p>
            <w:pPr>
              <w:ind w:left="1840"/>
              <w:spacing w:after="0"/>
              <w:rPr>
                <w:sz w:val="20"/>
                <w:szCs w:val="20"/>
                <w:color w:val="auto"/>
              </w:rPr>
            </w:pPr>
            <w:r>
              <w:rPr>
                <w:rFonts w:ascii="Times New Roman" w:cs="Times New Roman" w:eastAsia="Times New Roman" w:hAnsi="Times New Roman"/>
                <w:sz w:val="18"/>
                <w:szCs w:val="18"/>
                <w:color w:val="auto"/>
              </w:rPr>
              <w:t>By:</w:t>
            </w:r>
          </w:p>
        </w:tc>
        <w:tc>
          <w:tcPr>
            <w:tcW w:w="5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Anthony F. Pike</w:t>
            </w:r>
          </w:p>
        </w:tc>
      </w:tr>
      <w:tr>
        <w:trPr>
          <w:trHeight w:val="214"/>
        </w:trPr>
        <w:tc>
          <w:tcPr>
            <w:tcW w:w="3280" w:type="dxa"/>
            <w:vAlign w:val="bottom"/>
          </w:tcPr>
          <w:p>
            <w:pPr>
              <w:spacing w:after="0"/>
              <w:rPr>
                <w:sz w:val="18"/>
                <w:szCs w:val="18"/>
                <w:color w:val="auto"/>
              </w:rPr>
            </w:pPr>
          </w:p>
        </w:tc>
        <w:tc>
          <w:tcPr>
            <w:tcW w:w="2560" w:type="dxa"/>
            <w:vAlign w:val="bottom"/>
          </w:tcPr>
          <w:p>
            <w:pPr>
              <w:ind w:left="1840"/>
              <w:spacing w:after="0"/>
              <w:rPr>
                <w:sz w:val="20"/>
                <w:szCs w:val="20"/>
                <w:color w:val="auto"/>
              </w:rPr>
            </w:pPr>
            <w:r>
              <w:rPr>
                <w:rFonts w:ascii="Times New Roman" w:cs="Times New Roman" w:eastAsia="Times New Roman" w:hAnsi="Times New Roman"/>
                <w:sz w:val="18"/>
                <w:szCs w:val="18"/>
                <w:color w:val="auto"/>
              </w:rPr>
              <w:t>Name:</w:t>
            </w:r>
          </w:p>
        </w:tc>
        <w:tc>
          <w:tcPr>
            <w:tcW w:w="53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Anthony F. Pike</w:t>
            </w:r>
          </w:p>
        </w:tc>
      </w:tr>
      <w:tr>
        <w:trPr>
          <w:trHeight w:val="238"/>
        </w:trPr>
        <w:tc>
          <w:tcPr>
            <w:tcW w:w="3280" w:type="dxa"/>
            <w:vAlign w:val="bottom"/>
          </w:tcPr>
          <w:p>
            <w:pPr>
              <w:spacing w:after="0"/>
              <w:rPr>
                <w:sz w:val="20"/>
                <w:szCs w:val="20"/>
                <w:color w:val="auto"/>
              </w:rPr>
            </w:pPr>
          </w:p>
        </w:tc>
        <w:tc>
          <w:tcPr>
            <w:tcW w:w="2560" w:type="dxa"/>
            <w:vAlign w:val="bottom"/>
          </w:tcPr>
          <w:p>
            <w:pPr>
              <w:ind w:left="1840"/>
              <w:spacing w:after="0"/>
              <w:rPr>
                <w:sz w:val="20"/>
                <w:szCs w:val="20"/>
                <w:color w:val="auto"/>
              </w:rPr>
            </w:pPr>
            <w:r>
              <w:rPr>
                <w:rFonts w:ascii="Times New Roman" w:cs="Times New Roman" w:eastAsia="Times New Roman" w:hAnsi="Times New Roman"/>
                <w:sz w:val="18"/>
                <w:szCs w:val="18"/>
                <w:color w:val="auto"/>
              </w:rPr>
              <w:t>Title:</w:t>
            </w:r>
          </w:p>
        </w:tc>
        <w:tc>
          <w:tcPr>
            <w:tcW w:w="53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Chief Financial Officer</w:t>
            </w:r>
          </w:p>
        </w:tc>
      </w:tr>
    </w:tbl>
    <w:p>
      <w:pPr>
        <w:spacing w:after="0" w:line="1" w:lineRule="exact"/>
        <w:rPr>
          <w:sz w:val="20"/>
          <w:szCs w:val="20"/>
          <w:color w:val="auto"/>
        </w:rPr>
      </w:pP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2026-06-12T11:03:31Z</dcterms:created>
  <dcterms:modified xsi:type="dcterms:W3CDTF">2026-06-12T11:03:31Z</dcterms:modified>
</cp:coreProperties>
</file>