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mc:AlternateContent>
          <mc:Choice Requires="wps">
            <w:drawing>
              <wp:anchor simplePos="0" relativeHeight="251657728" behindDoc="1" locked="0" layoutInCell="0" allowOverlap="1">
                <wp:simplePos x="0" y="0"/>
                <wp:positionH relativeFrom="page">
                  <wp:posOffset>632460</wp:posOffset>
                </wp:positionH>
                <wp:positionV relativeFrom="page">
                  <wp:posOffset>417830</wp:posOffset>
                </wp:positionV>
                <wp:extent cx="627824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8245" cy="4763"/>
                        </a:xfrm>
                        <a:prstGeom prst="line">
                          <a:avLst/>
                        </a:prstGeom>
                        <a:solidFill>
                          <a:srgbClr val="FFFFFF"/>
                        </a:solidFill>
                        <a:ln w="11759">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8pt,32.9pt" to="544.15pt,32.9pt" o:allowincell="f" strokecolor="#000000" strokeweight="0.9259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297815</wp:posOffset>
                </wp:positionH>
                <wp:positionV relativeFrom="paragraph">
                  <wp:posOffset>-193675</wp:posOffset>
                </wp:positionV>
                <wp:extent cx="62871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5pt,-15.2499pt" to="518.5pt,-15.2499pt" o:allowincell="f" strokecolor="#000000" strokeweight="0.926pt"/>
            </w:pict>
          </mc:Fallback>
        </mc:AlternateConten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85"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7"/>
          <w:szCs w:val="17"/>
          <w:color w:val="auto"/>
        </w:rPr>
        <w:t>(Mark One)</w:t>
      </w:r>
    </w:p>
    <w:p>
      <w:pPr>
        <w:spacing w:after="0" w:line="52" w:lineRule="exact"/>
        <w:rPr>
          <w:sz w:val="24"/>
          <w:szCs w:val="24"/>
          <w:color w:val="auto"/>
        </w:rPr>
      </w:pPr>
    </w:p>
    <w:p>
      <w:pPr>
        <w:ind w:left="600"/>
        <w:spacing w:after="0" w:line="203" w:lineRule="exact"/>
        <w:rPr>
          <w:sz w:val="24"/>
          <w:szCs w:val="24"/>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42" w:lineRule="exact"/>
        <w:rPr>
          <w:sz w:val="24"/>
          <w:szCs w:val="24"/>
          <w:color w:val="auto"/>
        </w:rPr>
      </w:pPr>
    </w:p>
    <w:p>
      <w:pPr>
        <w:ind w:left="600"/>
        <w:spacing w:after="0" w:line="203" w:lineRule="exact"/>
        <w:rPr>
          <w:sz w:val="24"/>
          <w:szCs w:val="24"/>
          <w:color w:val="auto"/>
        </w:rPr>
      </w:pP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5560" w:type="dxa"/>
            <w:vAlign w:val="bottom"/>
            <w:gridSpan w:val="2"/>
          </w:tcPr>
          <w:p>
            <w:pPr>
              <w:ind w:left="35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780" w:type="dxa"/>
            <w:vAlign w:val="bottom"/>
            <w:tcBorders>
              <w:bottom w:val="single" w:sz="8" w:color="auto"/>
            </w:tcBorders>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78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880" w:type="dxa"/>
            <w:vAlign w:val="bottom"/>
          </w:tcPr>
          <w:p>
            <w:pPr>
              <w:ind w:left="620"/>
              <w:spacing w:after="0"/>
              <w:rPr>
                <w:sz w:val="20"/>
                <w:szCs w:val="20"/>
                <w:color w:val="auto"/>
              </w:rPr>
            </w:pPr>
            <w:r>
              <w:rPr>
                <w:rFonts w:ascii="Times New Roman" w:cs="Times New Roman" w:eastAsia="Times New Roman" w:hAnsi="Times New Roman"/>
                <w:sz w:val="15"/>
                <w:szCs w:val="15"/>
                <w:b w:val="1"/>
                <w:bCs w:val="1"/>
                <w:color w:val="auto"/>
              </w:rPr>
              <w:t>Commission File</w:t>
            </w:r>
          </w:p>
        </w:tc>
        <w:tc>
          <w:tcPr>
            <w:tcW w:w="48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Number 0-28082</w:t>
            </w:r>
          </w:p>
        </w:tc>
        <w:tc>
          <w:tcPr>
            <w:tcW w:w="0" w:type="dxa"/>
            <w:vAlign w:val="bottom"/>
          </w:tcPr>
          <w:p>
            <w:pPr>
              <w:spacing w:after="0"/>
              <w:rPr>
                <w:sz w:val="1"/>
                <w:szCs w:val="1"/>
                <w:color w:val="auto"/>
              </w:rPr>
            </w:pPr>
          </w:p>
        </w:tc>
      </w:tr>
      <w:tr>
        <w:trPr>
          <w:trHeight w:val="531"/>
        </w:trPr>
        <w:tc>
          <w:tcPr>
            <w:tcW w:w="3680" w:type="dxa"/>
            <w:vAlign w:val="bottom"/>
          </w:tcPr>
          <w:p>
            <w:pPr>
              <w:spacing w:after="0"/>
              <w:rPr>
                <w:sz w:val="24"/>
                <w:szCs w:val="24"/>
                <w:color w:val="auto"/>
              </w:rPr>
            </w:pPr>
          </w:p>
        </w:tc>
        <w:tc>
          <w:tcPr>
            <w:tcW w:w="6760" w:type="dxa"/>
            <w:vAlign w:val="bottom"/>
            <w:gridSpan w:val="5"/>
          </w:tcPr>
          <w:p>
            <w:pPr>
              <w:jc w:val="center"/>
              <w:ind w:right="3260"/>
              <w:spacing w:after="0"/>
              <w:rPr>
                <w:sz w:val="20"/>
                <w:szCs w:val="20"/>
                <w:color w:val="auto"/>
              </w:rPr>
            </w:pPr>
            <w:r>
              <w:rPr>
                <w:rFonts w:ascii="Times New Roman" w:cs="Times New Roman" w:eastAsia="Times New Roman" w:hAnsi="Times New Roman"/>
                <w:sz w:val="37"/>
                <w:szCs w:val="37"/>
                <w:b w:val="1"/>
                <w:bCs w:val="1"/>
                <w:color w:val="auto"/>
                <w:w w:val="99"/>
              </w:rPr>
              <w:t>KVH Industries, Inc.</w:t>
            </w:r>
          </w:p>
        </w:tc>
        <w:tc>
          <w:tcPr>
            <w:tcW w:w="0" w:type="dxa"/>
            <w:vAlign w:val="bottom"/>
          </w:tcPr>
          <w:p>
            <w:pPr>
              <w:spacing w:after="0"/>
              <w:rPr>
                <w:sz w:val="1"/>
                <w:szCs w:val="1"/>
                <w:color w:val="auto"/>
              </w:rPr>
            </w:pPr>
          </w:p>
        </w:tc>
      </w:tr>
      <w:tr>
        <w:trPr>
          <w:trHeight w:val="204"/>
        </w:trPr>
        <w:tc>
          <w:tcPr>
            <w:tcW w:w="3680" w:type="dxa"/>
            <w:vAlign w:val="bottom"/>
          </w:tcPr>
          <w:p>
            <w:pPr>
              <w:spacing w:after="0"/>
              <w:rPr>
                <w:sz w:val="17"/>
                <w:szCs w:val="17"/>
                <w:color w:val="auto"/>
              </w:rPr>
            </w:pPr>
          </w:p>
        </w:tc>
        <w:tc>
          <w:tcPr>
            <w:tcW w:w="6760" w:type="dxa"/>
            <w:vAlign w:val="bottom"/>
            <w:gridSpan w:val="5"/>
          </w:tcPr>
          <w:p>
            <w:pPr>
              <w:jc w:val="center"/>
              <w:ind w:right="3260"/>
              <w:spacing w:after="0"/>
              <w:rPr>
                <w:sz w:val="20"/>
                <w:szCs w:val="20"/>
                <w:color w:val="auto"/>
              </w:rPr>
            </w:pPr>
            <w:r>
              <w:rPr>
                <w:rFonts w:ascii="Times New Roman" w:cs="Times New Roman" w:eastAsia="Times New Roman" w:hAnsi="Times New Roman"/>
                <w:sz w:val="15"/>
                <w:szCs w:val="15"/>
                <w:i w:val="1"/>
                <w:iCs w:val="1"/>
                <w:color w:val="auto"/>
              </w:rPr>
              <w:t>(Exact Name of Registrant as Specified in its Charter)</w:t>
            </w:r>
          </w:p>
        </w:tc>
        <w:tc>
          <w:tcPr>
            <w:tcW w:w="0" w:type="dxa"/>
            <w:vAlign w:val="bottom"/>
          </w:tcPr>
          <w:p>
            <w:pPr>
              <w:spacing w:after="0"/>
              <w:rPr>
                <w:sz w:val="1"/>
                <w:szCs w:val="1"/>
                <w:color w:val="auto"/>
              </w:rPr>
            </w:pPr>
          </w:p>
        </w:tc>
      </w:tr>
      <w:tr>
        <w:trPr>
          <w:trHeight w:val="374"/>
        </w:trPr>
        <w:tc>
          <w:tcPr>
            <w:tcW w:w="3680" w:type="dxa"/>
            <w:vAlign w:val="bottom"/>
          </w:tcPr>
          <w:p>
            <w:pPr>
              <w:jc w:val="center"/>
              <w:ind w:left="143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00" w:type="dxa"/>
            <w:vAlign w:val="bottom"/>
            <w:gridSpan w:val="3"/>
          </w:tcPr>
          <w:p>
            <w:pPr>
              <w:jc w:val="right"/>
              <w:ind w:right="2160"/>
              <w:spacing w:after="0"/>
              <w:rPr>
                <w:sz w:val="20"/>
                <w:szCs w:val="20"/>
                <w:color w:val="auto"/>
              </w:rPr>
            </w:pPr>
            <w:r>
              <w:rPr>
                <w:rFonts w:ascii="Times New Roman" w:cs="Times New Roman" w:eastAsia="Times New Roman" w:hAnsi="Times New Roman"/>
                <w:sz w:val="17"/>
                <w:szCs w:val="17"/>
                <w:b w:val="1"/>
                <w:bCs w:val="1"/>
                <w:color w:val="auto"/>
              </w:rPr>
              <w:t>05-0420589</w:t>
            </w:r>
          </w:p>
        </w:tc>
        <w:tc>
          <w:tcPr>
            <w:tcW w:w="0" w:type="dxa"/>
            <w:vAlign w:val="bottom"/>
          </w:tcPr>
          <w:p>
            <w:pPr>
              <w:spacing w:after="0"/>
              <w:rPr>
                <w:sz w:val="1"/>
                <w:szCs w:val="1"/>
                <w:color w:val="auto"/>
              </w:rPr>
            </w:pPr>
          </w:p>
        </w:tc>
      </w:tr>
      <w:tr>
        <w:trPr>
          <w:trHeight w:val="243"/>
        </w:trPr>
        <w:tc>
          <w:tcPr>
            <w:tcW w:w="6340" w:type="dxa"/>
            <w:vAlign w:val="bottom"/>
            <w:gridSpan w:val="3"/>
          </w:tcPr>
          <w:p>
            <w:pPr>
              <w:jc w:val="center"/>
              <w:ind w:right="1043"/>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tc>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7"/>
                <w:szCs w:val="17"/>
                <w:i w:val="1"/>
                <w:iCs w:val="1"/>
                <w:color w:val="auto"/>
              </w:rPr>
              <w:t>(I.R.S. Employer Identification Number)</w:t>
            </w:r>
          </w:p>
        </w:tc>
        <w:tc>
          <w:tcPr>
            <w:tcW w:w="0" w:type="dxa"/>
            <w:vAlign w:val="bottom"/>
          </w:tcPr>
          <w:p>
            <w:pPr>
              <w:spacing w:after="0"/>
              <w:rPr>
                <w:sz w:val="1"/>
                <w:szCs w:val="1"/>
                <w:color w:val="auto"/>
              </w:rPr>
            </w:pPr>
          </w:p>
        </w:tc>
      </w:tr>
      <w:tr>
        <w:trPr>
          <w:trHeight w:val="242"/>
        </w:trPr>
        <w:tc>
          <w:tcPr>
            <w:tcW w:w="10440" w:type="dxa"/>
            <w:vAlign w:val="bottom"/>
            <w:gridSpan w:val="6"/>
          </w:tcPr>
          <w:p>
            <w:pPr>
              <w:jc w:val="center"/>
              <w:ind w:left="333"/>
              <w:spacing w:after="0"/>
              <w:rPr>
                <w:sz w:val="20"/>
                <w:szCs w:val="20"/>
                <w:color w:val="auto"/>
              </w:rPr>
            </w:pPr>
            <w:r>
              <w:rPr>
                <w:rFonts w:ascii="Times New Roman" w:cs="Times New Roman" w:eastAsia="Times New Roman" w:hAnsi="Times New Roman"/>
                <w:sz w:val="19"/>
                <w:szCs w:val="19"/>
                <w:b w:val="1"/>
                <w:bCs w:val="1"/>
                <w:color w:val="auto"/>
              </w:rPr>
              <w:t>75 Enterprise Center, Middletown, RI 02842</w:t>
            </w:r>
          </w:p>
        </w:tc>
        <w:tc>
          <w:tcPr>
            <w:tcW w:w="0" w:type="dxa"/>
            <w:vAlign w:val="bottom"/>
          </w:tcPr>
          <w:p>
            <w:pPr>
              <w:spacing w:after="0"/>
              <w:rPr>
                <w:sz w:val="1"/>
                <w:szCs w:val="1"/>
                <w:color w:val="auto"/>
              </w:rPr>
            </w:pPr>
          </w:p>
        </w:tc>
      </w:tr>
      <w:tr>
        <w:trPr>
          <w:trHeight w:val="170"/>
        </w:trPr>
        <w:tc>
          <w:tcPr>
            <w:tcW w:w="3680" w:type="dxa"/>
            <w:vAlign w:val="bottom"/>
          </w:tcPr>
          <w:p>
            <w:pPr>
              <w:spacing w:after="0"/>
              <w:rPr>
                <w:sz w:val="14"/>
                <w:szCs w:val="14"/>
                <w:color w:val="auto"/>
              </w:rPr>
            </w:pPr>
          </w:p>
        </w:tc>
        <w:tc>
          <w:tcPr>
            <w:tcW w:w="6760" w:type="dxa"/>
            <w:vAlign w:val="bottom"/>
            <w:gridSpan w:val="5"/>
          </w:tcPr>
          <w:p>
            <w:pPr>
              <w:jc w:val="center"/>
              <w:ind w:right="3280"/>
              <w:spacing w:after="0" w:line="170" w:lineRule="exact"/>
              <w:rPr>
                <w:sz w:val="20"/>
                <w:szCs w:val="20"/>
                <w:color w:val="auto"/>
              </w:rPr>
            </w:pPr>
            <w:r>
              <w:rPr>
                <w:rFonts w:ascii="Times New Roman" w:cs="Times New Roman" w:eastAsia="Times New Roman" w:hAnsi="Times New Roman"/>
                <w:sz w:val="15"/>
                <w:szCs w:val="15"/>
                <w:i w:val="1"/>
                <w:iCs w:val="1"/>
                <w:color w:val="auto"/>
              </w:rPr>
              <w:t>(Address of Principal Executive Offices) (Zip Code)</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2660" w:type="dxa"/>
            <w:vAlign w:val="bottom"/>
            <w:gridSpan w:val="2"/>
          </w:tcPr>
          <w:p>
            <w:pPr>
              <w:jc w:val="center"/>
              <w:ind w:left="726"/>
              <w:spacing w:after="0"/>
              <w:rPr>
                <w:sz w:val="20"/>
                <w:szCs w:val="20"/>
                <w:color w:val="auto"/>
              </w:rPr>
            </w:pPr>
            <w:r>
              <w:rPr>
                <w:rFonts w:ascii="Times New Roman" w:cs="Times New Roman" w:eastAsia="Times New Roman" w:hAnsi="Times New Roman"/>
                <w:sz w:val="17"/>
                <w:szCs w:val="17"/>
                <w:b w:val="1"/>
                <w:bCs w:val="1"/>
                <w:color w:val="auto"/>
              </w:rPr>
              <w:t>(401) 847-3327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760" w:type="dxa"/>
            <w:vAlign w:val="bottom"/>
            <w:gridSpan w:val="5"/>
          </w:tcPr>
          <w:p>
            <w:pPr>
              <w:jc w:val="center"/>
              <w:ind w:right="3240"/>
              <w:spacing w:after="0" w:line="171" w:lineRule="exact"/>
              <w:rPr>
                <w:sz w:val="20"/>
                <w:szCs w:val="20"/>
                <w:color w:val="auto"/>
              </w:rPr>
            </w:pPr>
            <w:r>
              <w:rPr>
                <w:rFonts w:ascii="Times New Roman" w:cs="Times New Roman" w:eastAsia="Times New Roman" w:hAnsi="Times New Roman"/>
                <w:sz w:val="15"/>
                <w:szCs w:val="15"/>
                <w:i w:val="1"/>
                <w:iCs w:val="1"/>
                <w:color w:val="auto"/>
              </w:rPr>
              <w:t>(Registrant’s Telephone Number, Including Area Code)</w:t>
            </w:r>
          </w:p>
        </w:tc>
        <w:tc>
          <w:tcPr>
            <w:tcW w:w="0" w:type="dxa"/>
            <w:vAlign w:val="bottom"/>
          </w:tcPr>
          <w:p>
            <w:pPr>
              <w:spacing w:after="0"/>
              <w:rPr>
                <w:sz w:val="1"/>
                <w:szCs w:val="1"/>
                <w:color w:val="auto"/>
              </w:rPr>
            </w:pPr>
          </w:p>
        </w:tc>
      </w:tr>
      <w:tr>
        <w:trPr>
          <w:trHeight w:val="239"/>
        </w:trPr>
        <w:tc>
          <w:tcPr>
            <w:tcW w:w="10440" w:type="dxa"/>
            <w:vAlign w:val="bottom"/>
            <w:gridSpan w:val="6"/>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8"/>
        </w:trPr>
        <w:tc>
          <w:tcPr>
            <w:tcW w:w="368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660" w:type="dxa"/>
            <w:vAlign w:val="bottom"/>
            <w:tcBorders>
              <w:bottom w:val="single" w:sz="8" w:color="auto"/>
            </w:tcBorders>
            <w:gridSpan w:val="2"/>
          </w:tcPr>
          <w:p>
            <w:pPr>
              <w:jc w:val="center"/>
              <w:ind w:left="426"/>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67"/>
        </w:trPr>
        <w:tc>
          <w:tcPr>
            <w:tcW w:w="3680" w:type="dxa"/>
            <w:vAlign w:val="bottom"/>
            <w:vMerge w:val="restart"/>
          </w:tcPr>
          <w:p>
            <w:pPr>
              <w:jc w:val="center"/>
              <w:ind w:left="553"/>
              <w:spacing w:after="0"/>
              <w:rPr>
                <w:sz w:val="20"/>
                <w:szCs w:val="20"/>
                <w:color w:val="auto"/>
              </w:rPr>
            </w:pPr>
            <w:r>
              <w:rPr>
                <w:rFonts w:ascii="Times New Roman" w:cs="Times New Roman" w:eastAsia="Times New Roman" w:hAnsi="Times New Roman"/>
                <w:sz w:val="17"/>
                <w:szCs w:val="17"/>
                <w:color w:val="auto"/>
              </w:rPr>
              <w:t>Common Stock, $0.01 par value per share</w:t>
            </w:r>
          </w:p>
        </w:tc>
        <w:tc>
          <w:tcPr>
            <w:tcW w:w="2660" w:type="dxa"/>
            <w:vAlign w:val="bottom"/>
            <w:gridSpan w:val="2"/>
            <w:vMerge w:val="restart"/>
          </w:tcPr>
          <w:p>
            <w:pPr>
              <w:jc w:val="center"/>
              <w:ind w:left="406"/>
              <w:spacing w:after="0"/>
              <w:rPr>
                <w:sz w:val="20"/>
                <w:szCs w:val="20"/>
                <w:color w:val="auto"/>
              </w:rPr>
            </w:pPr>
            <w:r>
              <w:rPr>
                <w:rFonts w:ascii="Times New Roman" w:cs="Times New Roman" w:eastAsia="Times New Roman" w:hAnsi="Times New Roman"/>
                <w:sz w:val="17"/>
                <w:szCs w:val="17"/>
                <w:color w:val="auto"/>
              </w:rPr>
              <w:t>KVHI</w:t>
            </w:r>
          </w:p>
        </w:tc>
        <w:tc>
          <w:tcPr>
            <w:tcW w:w="200" w:type="dxa"/>
            <w:vAlign w:val="bottom"/>
          </w:tcPr>
          <w:p>
            <w:pPr>
              <w:spacing w:after="0"/>
              <w:rPr>
                <w:sz w:val="23"/>
                <w:szCs w:val="23"/>
                <w:color w:val="auto"/>
              </w:rPr>
            </w:pPr>
          </w:p>
        </w:tc>
        <w:tc>
          <w:tcPr>
            <w:tcW w:w="39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112"/>
        </w:trPr>
        <w:tc>
          <w:tcPr>
            <w:tcW w:w="3680" w:type="dxa"/>
            <w:vAlign w:val="bottom"/>
            <w:vMerge w:val="continue"/>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23" w:lineRule="exact"/>
        <w:rPr>
          <w:sz w:val="24"/>
          <w:szCs w:val="24"/>
          <w:color w:val="auto"/>
        </w:rPr>
      </w:pPr>
    </w:p>
    <w:p>
      <w:pPr>
        <w:spacing w:after="0"/>
        <w:tabs>
          <w:tab w:leader="none" w:pos="768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Times New Roman" w:cs="Times New Roman" w:eastAsia="Times New Roman" w:hAnsi="Times New Roman"/>
          <w:sz w:val="15"/>
          <w:szCs w:val="15"/>
          <w:b w:val="1"/>
          <w:bCs w:val="1"/>
          <w:color w:val="auto"/>
        </w:rPr>
        <w:t>Yes</w:t>
      </w:r>
      <w:r>
        <w:rPr>
          <w:sz w:val="20"/>
          <w:szCs w:val="20"/>
          <w:color w:val="auto"/>
        </w:rPr>
        <w:tab/>
      </w:r>
      <w:r>
        <w:rPr>
          <w:rFonts w:ascii="Times New Roman" w:cs="Times New Roman" w:eastAsia="Times New Roman" w:hAnsi="Times New Roman"/>
          <w:sz w:val="15"/>
          <w:szCs w:val="15"/>
          <w:b w:val="1"/>
          <w:bCs w:val="1"/>
          <w:color w:val="auto"/>
        </w:rPr>
        <w:t>No</w:t>
      </w:r>
    </w:p>
    <w:p>
      <w:pPr>
        <w:spacing w:after="0" w:line="221" w:lineRule="exact"/>
        <w:rPr>
          <w:sz w:val="24"/>
          <w:szCs w:val="24"/>
          <w:color w:val="auto"/>
        </w:rPr>
      </w:pPr>
    </w:p>
    <w:p>
      <w:pPr>
        <w:spacing w:after="0"/>
        <w:tabs>
          <w:tab w:leader="none" w:pos="7840" w:val="left"/>
        </w:tabs>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5"/>
          <w:szCs w:val="15"/>
          <w:b w:val="1"/>
          <w:bCs w:val="1"/>
          <w:color w:val="auto"/>
        </w:rPr>
        <w:t>Yes</w:t>
      </w:r>
      <w:r>
        <w:rPr>
          <w:sz w:val="20"/>
          <w:szCs w:val="20"/>
          <w:color w:val="auto"/>
        </w:rPr>
        <w:tab/>
      </w:r>
      <w:r>
        <w:rPr>
          <w:rFonts w:ascii="Times New Roman" w:cs="Times New Roman" w:eastAsia="Times New Roman" w:hAnsi="Times New Roman"/>
          <w:sz w:val="15"/>
          <w:szCs w:val="15"/>
          <w:b w:val="1"/>
          <w:bCs w:val="1"/>
          <w:color w:val="auto"/>
        </w:rPr>
        <w:t>No</w:t>
      </w:r>
    </w:p>
    <w:p>
      <w:pPr>
        <w:spacing w:after="0" w:line="224"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5"/>
          <w:szCs w:val="15"/>
          <w:b w:val="1"/>
          <w:bCs w:val="1"/>
          <w:color w:val="auto"/>
        </w:rPr>
        <w:t>Yes No</w:t>
      </w:r>
    </w:p>
    <w:p>
      <w:pPr>
        <w:spacing w:after="0" w:line="142"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5"/>
          <w:szCs w:val="15"/>
          <w:b w:val="1"/>
          <w:bCs w:val="1"/>
          <w:color w:val="auto"/>
        </w:rPr>
        <w:t>Yes No</w:t>
      </w:r>
    </w:p>
    <w:p>
      <w:pPr>
        <w:spacing w:after="0" w:line="141" w:lineRule="exact"/>
        <w:rPr>
          <w:sz w:val="24"/>
          <w:szCs w:val="24"/>
          <w:color w:val="auto"/>
        </w:rPr>
      </w:pPr>
    </w:p>
    <w:p>
      <w:pPr>
        <w:ind w:right="280"/>
        <w:spacing w:after="0" w:line="25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8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3520" w:type="dxa"/>
            <w:vAlign w:val="bottom"/>
          </w:tcPr>
          <w:p>
            <w:pPr>
              <w:ind w:left="1640"/>
              <w:spacing w:after="0"/>
              <w:rPr>
                <w:sz w:val="20"/>
                <w:szCs w:val="20"/>
                <w:color w:val="auto"/>
              </w:rPr>
            </w:pPr>
            <w:r>
              <w:rPr>
                <w:rFonts w:ascii="Times New Roman" w:cs="Times New Roman" w:eastAsia="Times New Roman" w:hAnsi="Times New Roman"/>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86"/>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3520" w:type="dxa"/>
            <w:vAlign w:val="bottom"/>
          </w:tcPr>
          <w:p>
            <w:pPr>
              <w:ind w:left="16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16"/>
        </w:trPr>
        <w:tc>
          <w:tcPr>
            <w:tcW w:w="1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20" w:type="dxa"/>
            <w:vAlign w:val="bottom"/>
          </w:tcPr>
          <w:p>
            <w:pPr>
              <w:ind w:left="1640"/>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bl>
    <w:p>
      <w:pPr>
        <w:jc w:val="both"/>
        <w:spacing w:after="0" w:line="271"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6" w:lineRule="exact"/>
        <w:rPr>
          <w:sz w:val="24"/>
          <w:szCs w:val="24"/>
          <w:color w:val="auto"/>
        </w:rPr>
      </w:pPr>
    </w:p>
    <w:p>
      <w:pPr>
        <w:jc w:val="both"/>
        <w:spacing w:after="0" w:line="21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75" w:lineRule="exact"/>
        <w:rPr>
          <w:sz w:val="24"/>
          <w:szCs w:val="24"/>
          <w:color w:val="auto"/>
        </w:rPr>
      </w:pPr>
    </w:p>
    <w:p>
      <w:pPr>
        <w:jc w:val="both"/>
        <w:spacing w:after="0" w:line="19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18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5"/>
          <w:szCs w:val="15"/>
          <w:color w:val="auto"/>
        </w:rPr>
        <w:t>�</w:t>
      </w:r>
    </w:p>
    <w:p>
      <w:pPr>
        <w:spacing w:after="0" w:line="178" w:lineRule="exact"/>
        <w:rPr>
          <w:sz w:val="24"/>
          <w:szCs w:val="24"/>
          <w:color w:val="auto"/>
        </w:rPr>
      </w:pPr>
    </w:p>
    <w:p>
      <w:pPr>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Times New Roman" w:cs="Times New Roman" w:eastAsia="Times New Roman" w:hAnsi="Times New Roman"/>
          <w:sz w:val="15"/>
          <w:szCs w:val="15"/>
          <w:b w:val="1"/>
          <w:bCs w:val="1"/>
          <w:color w:val="auto"/>
        </w:rPr>
        <w:t>Yes</w:t>
      </w:r>
      <w:r>
        <w:rPr>
          <w:rFonts w:ascii="Times New Roman" w:cs="Times New Roman" w:eastAsia="Times New Roman" w:hAnsi="Times New Roman"/>
          <w:sz w:val="15"/>
          <w:szCs w:val="15"/>
          <w:color w:val="auto"/>
        </w:rPr>
        <w:t xml:space="preserve"> </w:t>
      </w:r>
      <w:r>
        <w:rPr>
          <w:rFonts w:ascii="Arial Unicode MS" w:cs="Arial Unicode MS" w:eastAsia="Arial Unicode MS" w:hAnsi="Arial Unicode MS"/>
          <w:sz w:val="15"/>
          <w:szCs w:val="15"/>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No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June 30, 2025, the aggregate market value of the registrant’s common stock held by non-affiliates of the registrant was $84,090,253 based on</w:t>
      </w:r>
    </w:p>
    <w:p>
      <w:pPr>
        <w:spacing w:after="0" w:line="24"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closing sale price of $5.33 per share as reported on the Nasdaq Global Select Market. Shares of common stock held by executive officers and directors of the registrant and their affiliates have been excluded from this calculation because such persons may be deemed affiliates. As of March 4, 2026, the registrant had 19,478,934 shares of common stock outstanding.</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Portions of the registrant’s Proxy Statement relating to its 2026 Annual Meeting of Stockholders are incorporated herein by reference in Part III.</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302260</wp:posOffset>
                </wp:positionH>
                <wp:positionV relativeFrom="paragraph">
                  <wp:posOffset>31750</wp:posOffset>
                </wp:positionV>
                <wp:extent cx="627824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824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pt,2.5pt" to="518.15pt,2.5pt" o:allowincell="f" strokecolor="#000000" strokeweight="0.926pt"/>
            </w:pict>
          </mc:Fallback>
        </mc:AlternateContent>
        <mc:AlternateContent>
          <mc:Choice Requires="wps">
            <w:drawing>
              <wp:anchor simplePos="0" relativeHeight="251657728" behindDoc="1" locked="0" layoutInCell="0" allowOverlap="1">
                <wp:simplePos x="0" y="0"/>
                <wp:positionH relativeFrom="column">
                  <wp:posOffset>297815</wp:posOffset>
                </wp:positionH>
                <wp:positionV relativeFrom="paragraph">
                  <wp:posOffset>78105</wp:posOffset>
                </wp:positionV>
                <wp:extent cx="62871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5pt,6.15pt" to="518.5pt,6.15pt" o:allowincell="f" strokecolor="#000000" strokeweight="0.926pt"/>
            </w:pict>
          </mc:Fallback>
        </mc:AlternateContent>
      </w:r>
    </w:p>
    <w:p>
      <w:pPr>
        <w:sectPr>
          <w:pgSz w:w="11880" w:h="15480" w:orient="portrait"/>
          <w:cols w:equalWidth="0" w:num="1">
            <w:col w:w="10860"/>
          </w:cols>
          <w:pgMar w:left="520" w:top="703" w:right="500" w:bottom="21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6"/>
        </w:trPr>
        <w:tc>
          <w:tcPr>
            <w:tcW w:w="900" w:type="dxa"/>
            <w:vAlign w:val="bottom"/>
          </w:tcPr>
          <w:p>
            <w:pPr>
              <w:spacing w:after="0"/>
              <w:rPr>
                <w:sz w:val="23"/>
                <w:szCs w:val="23"/>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INDEX TO FORM 10-K</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9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1A.</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1B.</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1C.</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Cybersecurity</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2.</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3.</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4.</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94"/>
        </w:trPr>
        <w:tc>
          <w:tcPr>
            <w:tcW w:w="90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PART II</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5.</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798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Equity Securities</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900" w:type="dxa"/>
            <w:vAlign w:val="bottom"/>
          </w:tcPr>
          <w:p>
            <w:pPr>
              <w:spacing w:after="0"/>
              <w:rPr>
                <w:sz w:val="5"/>
                <w:szCs w:val="5"/>
                <w:color w:val="auto"/>
              </w:rPr>
            </w:pPr>
          </w:p>
        </w:tc>
        <w:tc>
          <w:tcPr>
            <w:tcW w:w="79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6.</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7.</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7A.</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Quantitative and Qualitative Disclosure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8.</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9.</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9A.</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9B.</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9C.</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583"/>
        </w:trPr>
        <w:tc>
          <w:tcPr>
            <w:tcW w:w="90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PART III</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10.</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11.</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12.</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13.</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14.</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0" w:type="dxa"/>
            <w:vAlign w:val="bottom"/>
          </w:tcPr>
          <w:p>
            <w:pPr>
              <w:spacing w:after="0"/>
              <w:rPr>
                <w:sz w:val="1"/>
                <w:szCs w:val="1"/>
                <w:color w:val="auto"/>
              </w:rPr>
            </w:pPr>
          </w:p>
        </w:tc>
      </w:tr>
      <w:tr>
        <w:trPr>
          <w:trHeight w:val="583"/>
        </w:trPr>
        <w:tc>
          <w:tcPr>
            <w:tcW w:w="900" w:type="dxa"/>
            <w:vAlign w:val="bottom"/>
          </w:tcPr>
          <w:p>
            <w:pPr>
              <w:spacing w:after="0"/>
              <w:rPr>
                <w:sz w:val="24"/>
                <w:szCs w:val="24"/>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PART IV</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15.</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Exhibits and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Item 16.</w:t>
            </w:r>
          </w:p>
        </w:tc>
        <w:tc>
          <w:tcPr>
            <w:tcW w:w="79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Form 10-K Summary</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0" w:type="dxa"/>
            <w:vAlign w:val="bottom"/>
          </w:tcPr>
          <w:p>
            <w:pPr>
              <w:spacing w:after="0"/>
              <w:rPr>
                <w:sz w:val="1"/>
                <w:szCs w:val="1"/>
                <w:color w:val="auto"/>
              </w:rPr>
            </w:pP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9"/>
                <w:szCs w:val="19"/>
                <w:color w:val="auto"/>
              </w:rPr>
              <w:t>Signatures</w:t>
            </w:r>
          </w:p>
        </w:tc>
        <w:tc>
          <w:tcPr>
            <w:tcW w:w="79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2</w:t>
      </w:r>
    </w:p>
    <w:p>
      <w:pPr>
        <w:sectPr>
          <w:pgSz w:w="11880" w:h="15480" w:orient="portrait"/>
          <w:cols w:equalWidth="0" w:num="1">
            <w:col w:w="9840"/>
          </w:cols>
          <w:pgMar w:left="1040" w:top="899" w:right="1000" w:bottom="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PART I</w:t>
      </w: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Statement Regarding Forward-Looking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-129540</wp:posOffset>
                </wp:positionV>
                <wp:extent cx="62769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0.1999pt" to="494.05pt,-10.1999pt" o:allowincell="f" strokecolor="#000000" strokeweight="0.926pt"/>
            </w:pict>
          </mc:Fallback>
        </mc:AlternateContent>
      </w:r>
    </w:p>
    <w:p>
      <w:pPr>
        <w:spacing w:after="0" w:line="297"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In addition to historical facts, this annual report contains forward-looking statements. Forward-looking statements are merely our current predictions of future events. These statements are inherently uncertain, and actual events could differ materially from our predictions. Important factors that could cause actual events to vary from our predictions include those discussed in this annual report under the headings “Item 7. Management’s Discussion and Analysis of Financial Condition and Results of Operations,” and “Item 1A. Risk Factors.” We assume no obligation to update our forward-looking statements to reflect new information or developments. We urge readers to review carefully the risk factors described in this annual report and in the other documents that we file with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 Available</w:t>
      </w:r>
    </w:p>
    <w:p>
      <w:pPr>
        <w:spacing w:after="0" w:line="317"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 xml:space="preserve">Our principal Internet address is </w:t>
      </w:r>
      <w:r>
        <w:rPr>
          <w:rFonts w:ascii="Times New Roman" w:cs="Times New Roman" w:eastAsia="Times New Roman" w:hAnsi="Times New Roman"/>
          <w:sz w:val="19"/>
          <w:szCs w:val="19"/>
          <w:i w:val="1"/>
          <w:iCs w:val="1"/>
          <w:color w:val="auto"/>
        </w:rPr>
        <w:t>www.kvh.com</w:t>
      </w:r>
      <w:r>
        <w:rPr>
          <w:rFonts w:ascii="Times New Roman" w:cs="Times New Roman" w:eastAsia="Times New Roman" w:hAnsi="Times New Roman"/>
          <w:sz w:val="19"/>
          <w:szCs w:val="19"/>
          <w:color w:val="auto"/>
        </w:rPr>
        <w:t>. Our website provides a hyperlink to a third-party website through which our annual, quarterly, and current reports, as well as amendments to those reports, are available free of charge. We believe these reports are made available as soon as reasonably practicable after we electronically file them with, or furnish them to, the SEC. We do not provide any information regarding our SEC filings directly to the third-party website, and we do not check its accuracy or completeness. The SEC maintains an Internet site at http://www.sec.gov that contains reports, proxy and information statements, and other information regarding issuers that file electronically with the SEC.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Introduction</w:t>
      </w:r>
    </w:p>
    <w:p>
      <w:pPr>
        <w:spacing w:after="0" w:line="317"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We are a leading global provider of innovative and technology-driven connectivity solutions to primarily maritime commercial and leisure customers. We provide global high-speed Internet and Voice over Internet Protocol (VoIP) services via satellite and integrated 5G/LTE cellular communications to mobile users at sea and on land. We are also a leading provider of commercially licensed entertainment, including movies, television programming, news, and music, to commercial customers in the maritime market, along with supplemental value-added network and bandwidth management cybersecurity, email, and crew Internet services.</w:t>
      </w:r>
    </w:p>
    <w:p>
      <w:pPr>
        <w:spacing w:after="0" w:line="220"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We currently manufacture our products in Middletown, Rhode Island, and we generate revenues in the United States and various international locations, including primarily Singapore, Canada, South American countries, European Union countries and other European countries, and countries in Africa, the Middle East and Asia/Pacific, including India. We are winding down our product manufacturing operations and currently plan to discontinue substantially all manufacturing activities by the end of 2026.</w:t>
      </w:r>
    </w:p>
    <w:p>
      <w:pPr>
        <w:spacing w:after="0" w:line="214" w:lineRule="exact"/>
        <w:rPr>
          <w:sz w:val="20"/>
          <w:szCs w:val="20"/>
          <w:color w:val="auto"/>
        </w:rPr>
      </w:pPr>
    </w:p>
    <w:p>
      <w:pPr>
        <w:jc w:val="both"/>
        <w:ind w:firstLine="565"/>
        <w:spacing w:after="0" w:line="314" w:lineRule="auto"/>
        <w:rPr>
          <w:sz w:val="20"/>
          <w:szCs w:val="20"/>
          <w:color w:val="auto"/>
        </w:rPr>
      </w:pPr>
      <w:r>
        <w:rPr>
          <w:rFonts w:ascii="Times New Roman" w:cs="Times New Roman" w:eastAsia="Times New Roman" w:hAnsi="Times New Roman"/>
          <w:sz w:val="19"/>
          <w:szCs w:val="19"/>
          <w:color w:val="auto"/>
        </w:rPr>
        <w:t>We are headquartered in Middletown, Rhode Island and plan to migrate to Bristol, Rhode Island in the spring of 2026. We have active operations in Denmark, the United Kingdom, the Philippines, and Singapore. KVH is a Delaware corporation formed in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880" w:h="15480" w:orient="portrait"/>
          <w:cols w:equalWidth="0" w:num="1">
            <w:col w:w="9920"/>
          </w:cols>
          <w:pgMar w:left="980" w:top="890" w:right="980"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auto"/>
        </w:rPr>
        <w:t>Our Business</w:t>
      </w:r>
    </w:p>
    <w:p>
      <w:pPr>
        <w:spacing w:after="0" w:line="281" w:lineRule="exact"/>
        <w:rPr>
          <w:sz w:val="20"/>
          <w:szCs w:val="20"/>
          <w:color w:val="auto"/>
        </w:rPr>
      </w:pPr>
    </w:p>
    <w:p>
      <w:pPr>
        <w:jc w:val="both"/>
        <w:ind w:firstLine="522"/>
        <w:spacing w:after="0" w:line="297" w:lineRule="auto"/>
        <w:rPr>
          <w:sz w:val="20"/>
          <w:szCs w:val="20"/>
          <w:color w:val="auto"/>
        </w:rPr>
      </w:pPr>
      <w:r>
        <w:rPr>
          <w:rFonts w:ascii="Times New Roman" w:cs="Times New Roman" w:eastAsia="Times New Roman" w:hAnsi="Times New Roman"/>
          <w:sz w:val="19"/>
          <w:szCs w:val="19"/>
          <w:color w:val="auto"/>
        </w:rPr>
        <w:t>We provide integrated, end-to-end services, software, and hardware that support our customers’ need for access to the Internet, VoIP, operations content, and entertainment services while on the move. On the services side of our business, sales of our low-earth-orbit (LEO) and global high-throughput satellite (HTS) airtime service accounted for 82% and 80% of our consolidated net sales for 2025 and 2024, respectively. Sales of content services accounted for 4% and 3% of our consolidated net sales for 2025 and 2024, respectively. On the hardware side of our business, we primarily distribute products manufactured by third-parties that support LEO satellite services. In addition, we currently manufacture and distribute a comprehensive family of mobile satellite antenna products that provide two-way access to the Internet and VoIP services using Ku-band VSAT service with integrated 5G/LTE cellular service and support for shore-based Wi-Fi. We also manufacture in-motion, stabilized antennas that provide receive-only satellite television services. Product sales accounted for 11% and 15% of our consolidated net sales for 2025 and 2024, respectively.</w:t>
      </w:r>
    </w:p>
    <w:p>
      <w:pPr>
        <w:spacing w:after="0" w:line="226" w:lineRule="exact"/>
        <w:rPr>
          <w:sz w:val="20"/>
          <w:szCs w:val="20"/>
          <w:color w:val="auto"/>
        </w:rPr>
      </w:pPr>
    </w:p>
    <w:p>
      <w:pPr>
        <w:jc w:val="both"/>
        <w:ind w:firstLine="521"/>
        <w:spacing w:after="0" w:line="296" w:lineRule="auto"/>
        <w:rPr>
          <w:sz w:val="20"/>
          <w:szCs w:val="20"/>
          <w:color w:val="auto"/>
        </w:rPr>
      </w:pPr>
      <w:r>
        <w:rPr>
          <w:rFonts w:ascii="Times New Roman" w:cs="Times New Roman" w:eastAsia="Times New Roman" w:hAnsi="Times New Roman"/>
          <w:sz w:val="19"/>
          <w:szCs w:val="19"/>
          <w:color w:val="auto"/>
        </w:rPr>
        <w:t>In the global maritime market, we believe that there is significant demand for mobile access to the Internet, operational data, voice services, entertainment content, and satellite television. For mobile access to the Internet and VoIP services, which we refer to collectively as our airtime services, we offer communication services using global satellite service (including Ku-band VSAT using the SES HTS network along with Starlink, Eutelsat OneWeb, Iridium, Inmarsat and other satellite services), 5G/LTE cellular service, and shore-based Wi-Fi access, which are marketed under the KVH ONE hybrid network brand. For customer access to our airtime services, we currently offer a family of parabolic hybrid mobile satellite antenna products, which are marketed under the TracNet hybrid terminal network brand. Under our KVH ONE OpenNet program, customers using non-KVH Ku-band VSAT terminals can subscribe to our airtime services. We are also an authorized reseller of airtime and terminals supporting the Starlink and Eutelsat OneWeb LEO services. In addition to satellite communications-based services, we also offer TracNet Coastal, a 5G/cellular and Wi-Fi based solution intended for use along coastal waterways with cellular service offered in more than 130 countries.</w:t>
      </w:r>
    </w:p>
    <w:p>
      <w:pPr>
        <w:spacing w:after="0" w:line="232"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network infrastructure that we have developed to support our airtime services also supports the delivery of other value-added services, such as our KVH Link content service, with country-specific news, entertainment, music, and other crew welfare content delivered using our linkHUB OTA (over the air) delivery service. For both maritime and onshore customers who want to access live television while on the move, we offer a comprehensive family of parabolic mobile satellite antenna products marketed under the TracVision brand.</w:t>
      </w:r>
    </w:p>
    <w:p>
      <w:pPr>
        <w:spacing w:after="0" w:line="219"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Our certified support network offers our TracNet, TracVision, and TracPhone customers an international network of skilled technical dealers and support centers in many locations where our customers are likely to travel or conduct business. We have selected these dealers based on their technical expertise, professionalism, and commitment to quality, and regularly provide them with extensive training in the sale, installation, and support of our products. We also rely on this same sales and technical partner network to support our LEO hardware and airtime customers.</w:t>
      </w:r>
    </w:p>
    <w:p>
      <w:pPr>
        <w:spacing w:after="0" w:line="219"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2026. This wind-down has been extended because our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 until our anticipated relocation in the spring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880" w:h="15480" w:orient="portrait"/>
          <w:cols w:equalWidth="0" w:num="1">
            <w:col w:w="9920"/>
          </w:cols>
          <w:pgMar w:left="980" w:top="899" w:right="980"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i w:val="1"/>
          <w:iCs w:val="1"/>
          <w:color w:val="auto"/>
        </w:rPr>
        <w:t>Airtime Services</w:t>
      </w:r>
    </w:p>
    <w:p>
      <w:pPr>
        <w:spacing w:after="0" w:line="299"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We provide subscription plans that enable customers to obtain Internet and VoIP airtime services. We acquire satellite bandwidth through third-party providers, manage our network operations, and provide 24/7/365 after-sale support. We offer a variety of rate plans that are flexible to meet customer needs. The key features of KVH’s VSAT-based airtime services are a choice of high-speed and unlimited use airtime plans, a network management portal, and a comprehensive global customer support program. Our high-speed plans offer simple, usage-based monthly data bundles. When the high-speed data bundle is consumed, subscribers have the option to maintain high data speed at all times with low per MB overage rates or to shift to a slower unlimited use data speed for the remainder of the month. Our unlimited use data plans offer plans based on maximum upload and download speeds. All TracNet, TracPhone, and OpenNet 60 cm to 1 meter antennas support simultaneous high-speed and unlimited use plans for optimal flexibility, while all 37 cm terminals offer a single high-speed data channel.</w:t>
      </w:r>
    </w:p>
    <w:p>
      <w:pPr>
        <w:spacing w:after="0" w:line="221" w:lineRule="exact"/>
        <w:rPr>
          <w:sz w:val="20"/>
          <w:szCs w:val="20"/>
          <w:color w:val="auto"/>
        </w:rPr>
      </w:pPr>
    </w:p>
    <w:p>
      <w:pPr>
        <w:jc w:val="both"/>
        <w:ind w:firstLine="522"/>
        <w:spacing w:after="0" w:line="296" w:lineRule="auto"/>
        <w:rPr>
          <w:sz w:val="20"/>
          <w:szCs w:val="20"/>
          <w:color w:val="auto"/>
        </w:rPr>
      </w:pPr>
      <w:r>
        <w:rPr>
          <w:rFonts w:ascii="Times New Roman" w:cs="Times New Roman" w:eastAsia="Times New Roman" w:hAnsi="Times New Roman"/>
          <w:sz w:val="19"/>
          <w:szCs w:val="19"/>
          <w:color w:val="auto"/>
        </w:rPr>
        <w:t>Our customer portal, myKVH, is a secure site that offers KVH customers access to technical support, product warranty and user documentation, billing, and direct access to KVH Manager. KVH Manager offers a suite of tools and reports, among other features, terminal status, real-time data reporting activation, and the ability to manage data access by application category, configure the KVH terminal, improve performance with Tracking Avoidance Zones, set data usage alerts and get real-time vessel tracking reports with up to one year of historical data. These tools and functionalities also support and help customers manage KVH’s LEO offerings. We are a Starlink Authorized Tier 1 reseller. We offer a suite of terminals, which can be activated on either Global Priority, suitable for maritime and global connectivity, with coverage across all Starlink service areas, or Local Priority service, suitable for fixed and mobile businesses on land and inland waterways, including lakes and rivers. In addition to airtime activation, self-service online activations for our Starlink service are available for new customers via a link and for existing customers through their KVH Manager portal. Our Eutelsat OneWeb service operates on Eutelsat OneWeb’s near-global network, providing high-performance, low-latency service with a choice of Intellian compact or enterprise terminals. Plans range from 50 GB to 15 TB.</w:t>
      </w:r>
    </w:p>
    <w:p>
      <w:pPr>
        <w:spacing w:after="0" w:line="22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AgilePlans, one of our options for commercial maritime customers, offers an all-inclusive Connectivity as a Service, or CaaS, usage-based pricing model. Under this all-in-one CaaS model, we charge subscribers a single monthly fee in exchange for which we provide satellite communication hardware, subsidized shipping and installation, maintenance and support, airtime and VoIP services, a service management portal and certain basic content services with no minimum commitment and no long-term contract.</w:t>
      </w:r>
    </w:p>
    <w:p>
      <w:pPr>
        <w:spacing w:after="0" w:line="219"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We offer AgilePlans customers the same range of airtime data plans as non-AgilePlan customers. Under our CaaS model, we retain ownership of the hardware and do not sell it to subscribers, who must return it to us if they terminate our service. Returned units may be refurbished and redeployed for new AgilePlans subscriptions. As customers have subscribed to our AgilePlans service, our revenues from product sales have declined, and we expect this trend to continue. We expect that our provision of this equipment to subscribers will continue to comprise the majority of our recurring capital expenditures.</w:t>
      </w:r>
    </w:p>
    <w:p>
      <w:pPr>
        <w:spacing w:after="0" w:line="219"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In October 2017, we launched our maritime broadband network with SES. The HTS high-speed network incorporates SES satellite services, including Epic satellites, and the IntelsatOne Flex platform, a global managed service designed to optimize bandwidth allocations and provide flexible coverage where it is needed. Our global HTS network also benefits from Japanese satellite capacity provided by SKY Perfect JSAT. Overall, our global HTS network currently uses a combination of 185 Ku-band transponders (4 of which we directly contract for) on 28 satellites to provide Ku-band coverage throughout the northern and southern hemispheres. Of the 28 satellites, 5 are considered high-throughput satellites that provide coverage via overlapping high-powered spot beams. Of the 185 Ku-band transponders, 141 are on high-throughput satellites. Along with our Ku-band HTS network, we offer airtime services via other networks, such as Starlink, Eutelsat OneWeb, Inmarsat and Iridium.</w:t>
      </w:r>
    </w:p>
    <w:p>
      <w:pPr>
        <w:spacing w:after="0" w:line="226"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In May 2023, we announced a new program for leisure and commercial vessels: the KVH ONE OpenNet Program. Vessels equipped with 60 cm to 1 m terminals built by other manufacturers, including Intellian and Cobham, can use their existing non-KVH VSAT antennas to subscribe to KVH’s global HTS network airtime, receive 24/7 airtime and technical support, and make use of KVH’s suite of value-added services. Typically, no hardware exchanges are needed to subscribe to the service.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880" w:h="15480" w:orient="portrait"/>
          <w:cols w:equalWidth="0" w:num="1">
            <w:col w:w="9920"/>
          </w:cols>
          <w:pgMar w:left="980" w:top="905" w:right="980" w:bottom="0" w:gutter="0" w:footer="0" w:header="0"/>
        </w:sectPr>
      </w:pPr>
    </w:p>
    <w:bookmarkStart w:id="5" w:name="page6"/>
    <w:bookmarkEnd w:id="5"/>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In October 2023, we signed a multi-year agreement with Kognitive Networks through which we are integrating Kognitive’s suite of enterprise-grade network and bandwidth management tools, private-labeled as CommBox Edge, into our maritime mobile communication service offerings. CommBox Edge is an integral element of our multi-orbit, multi-channel marine communication solutions, enabling more diverse hybrid configurations. The new suite of tools integrates with and manages onboard connectivity with features such as a cloud-managed user interface, real-time data metering and analysis, WAN combination and control with advanced routing and channel bonding, which combines multiple Internet connections for increased speed and performance, network protection and security with deep packet inspection, traffic policies, and VPN. Network and bandwidth configuration are controlled via onboard services and both cloud-based and mobile applications. As part of this suite of tools, we have added the CommBox Edge Core, a communication gateway and Wi-Fi router for leisure and light commercial vessels that need reliable network management, easy-to-deploy Wi-Fi, enhanced security, and a broad license and feature set.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Services</w:t>
      </w:r>
    </w:p>
    <w:p>
      <w:pPr>
        <w:spacing w:after="0" w:line="311" w:lineRule="exact"/>
        <w:rPr>
          <w:sz w:val="20"/>
          <w:szCs w:val="20"/>
          <w:color w:val="auto"/>
        </w:rPr>
      </w:pPr>
    </w:p>
    <w:p>
      <w:pPr>
        <w:jc w:val="both"/>
        <w:ind w:firstLine="521"/>
        <w:spacing w:after="0" w:line="325" w:lineRule="auto"/>
        <w:rPr>
          <w:sz w:val="20"/>
          <w:szCs w:val="20"/>
          <w:color w:val="auto"/>
        </w:rPr>
      </w:pPr>
      <w:r>
        <w:rPr>
          <w:rFonts w:ascii="Times New Roman" w:cs="Times New Roman" w:eastAsia="Times New Roman" w:hAnsi="Times New Roman"/>
          <w:sz w:val="19"/>
          <w:szCs w:val="19"/>
          <w:color w:val="auto"/>
        </w:rPr>
        <w:t>We offer a variety of value-added services to our maritime customers. The vast majority of these value-added services are subscription-based.</w:t>
      </w:r>
    </w:p>
    <w:p>
      <w:pPr>
        <w:spacing w:after="0" w:line="185"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Our KVH Media Group, which is based in the United Kingdom, distributes commercially licensed entertainment, including movies, television programming, news, music and other crew-focused content to customers in the commercial maritime sector. Sales from KVH Media Group are included as part of content service sales. For movie and television content, we are an approved distributor of licensed content for certain Hollywood, Bollywood, and independent studios worldwide. Our "news from home" digital newspaper service includes more than 100 daily newspapers in more than 20 languages. The digital content can be printed onboard or viewed on a TV (via a set-top box), tablet, smartphone, or laptop.</w:t>
      </w:r>
    </w:p>
    <w:p>
      <w:pPr>
        <w:spacing w:after="0" w:line="220" w:lineRule="exact"/>
        <w:rPr>
          <w:sz w:val="20"/>
          <w:szCs w:val="20"/>
          <w:color w:val="auto"/>
        </w:rPr>
      </w:pPr>
    </w:p>
    <w:p>
      <w:pPr>
        <w:jc w:val="both"/>
        <w:ind w:firstLine="522"/>
        <w:spacing w:after="0" w:line="301" w:lineRule="auto"/>
        <w:rPr>
          <w:sz w:val="20"/>
          <w:szCs w:val="20"/>
          <w:color w:val="auto"/>
        </w:rPr>
      </w:pPr>
      <w:r>
        <w:rPr>
          <w:rFonts w:ascii="Times New Roman" w:cs="Times New Roman" w:eastAsia="Times New Roman" w:hAnsi="Times New Roman"/>
          <w:sz w:val="19"/>
          <w:szCs w:val="19"/>
          <w:color w:val="auto"/>
        </w:rPr>
        <w:t>We offer a content subscription service, exclusively for the commercial maritime sector, called KVH Link. This service can be delivered either over the air, via the recipient vessel’s satellite communications system, or via encrypted USB drives. Once received onboard, the content is stored on a dedicated KVH Link linkHUB server, which incorporates studio-approved DRM (Digital Rights Management) software. Copyright law requires permission from the rights holder for exhibitions of copyrighted films, television and news content on a commercial ship. KVH Media Group holds the rights to allow non-theatrical exhibitions of this content aboard commercial ships for viewing by crew.</w:t>
      </w:r>
    </w:p>
    <w:p>
      <w:pPr>
        <w:spacing w:after="0" w:line="192"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Customers that subscribe to one of our entertainment packages generally receive a variety of movie and television content that is cached locally onboard. We transmit local "news from home" and international news segments in a variety of languages on a daily, weekly or monthly basis, a library of movies plus daily sports, news clips and special programming such as the highlights of sporting events.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Value-added Services</w:t>
      </w:r>
    </w:p>
    <w:p>
      <w:pPr>
        <w:spacing w:after="0" w:line="311"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We recognize that our customers desire more than just a simple pipe for data and connectivity. We design and offer an array of value-added services that both increase the capabilities of our customers’ systems as well as generate additional recurring revenue for KVH. Among these value-added services are an enterprise-grade Managed Firewall powered by industry leader Fortinet, a cloud email system for commercial fleets and seafarers, crew Internet support, real-time vessel tracking, our KVH Link content service, and CommBox Edge. The majority of these services are available via third-party services and networks we offer as part of our KVH ONE multi-orbit, multi-channel network, including Starlink, Eutelsat OneWeb, and 5G/cellular.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880" w:h="15480" w:orient="portrait"/>
          <w:cols w:equalWidth="0" w:num="1">
            <w:col w:w="9920"/>
          </w:cols>
          <w:pgMar w:left="980" w:top="902" w:right="980"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i w:val="1"/>
          <w:iCs w:val="1"/>
          <w:color w:val="auto"/>
        </w:rPr>
        <w:t>Maritime Products</w:t>
      </w:r>
    </w:p>
    <w:p>
      <w:pPr>
        <w:spacing w:after="0" w:line="310"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In the marine market, we currently offer a range of communications and mobile satellite TV products. As noted above, we are winding down our product manufacturing operations at our Middletown, Rhode Island location. We plan to migrate to a new facility in Bristol, Rhode Island in the spring of 2026 and intend to cease substantially all manufacturing activity by the end of 2026. We expect to continue to facilitate customer transition to third-party hardware products compatible with our mobile satellite communications services and our LEO offerings, including Starlink and Eutelsat OneWeb.</w:t>
      </w:r>
    </w:p>
    <w:p>
      <w:pPr>
        <w:spacing w:after="0" w:line="219"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Our parabolic mobile satellite antenna products use sophisticated robotics, stabilization, and control software, sensing technologies, transceiver integration, and advanced antenna designs to automatically search for, identify, and point directly at the optimal communications and television satellite while the vessel or vehicle is in motion. Our antennas use digital inertial measurement units, gyroscopes, and inclinometers to measure the movement of an antenna platform in relation to the earth in three different axes. Microprocessors and our proprietary stabilization and control software use that data to compute the antenna movement necessary for the antenna’s motors to point the antenna properly and maintain contact with the satellite. If an obstruction temporarily blocks the satellite signal, our products either automatically switch to an available, alternate satellite beam or, if no other beam is available, continue to track the satellite’s location according to the movement of the antenna platform in order to carry out automatic, rapid reacquisition of the signal when a direct line of sight to the satellite is restored.</w:t>
      </w:r>
    </w:p>
    <w:p>
      <w:pPr>
        <w:spacing w:after="0" w:line="211"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i w:val="1"/>
          <w:iCs w:val="1"/>
          <w:u w:val="single" w:color="auto"/>
          <w:color w:val="auto"/>
        </w:rPr>
        <w:t>Satellite Internet and Phone.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March 2023, we began selling Starlink terminals as companion terminals for new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existing installations of our own TracNet and TracPhone systems. In September 2023, we became an authorized hardware and airtime reseller for Starlink. We currently offer Starlink as a stand-alone service and also as a KVH ONE global network companion service. While Starlink offers a fast and lower-cost data pipe, we believe that a hybrid deployment of KVH and Starlink systems offers a more robust solution due to our intelligent channel switching, KVH ONE global hybrid network, integrated services, enterprise-grade cybersecurity, and other features.</w:t>
      </w:r>
    </w:p>
    <w:p>
      <w:pPr>
        <w:spacing w:after="0" w:line="261"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In January 2024, we announced a distribution agreement with Eutelsat OneWeb that enables us to expand our multi-orbit hybrid network to include Eutelsat OneWeb’s high-speed, low-latency service. Under the terms of the agreement, KVH offers Eutelsat OneWeb’s LEO connectivity services supporting terminals for commercial and leisure vessels via Eutelsat OneWeb’s LEO satellite constellation. Eutelsat OneWeb’s network compromises more than 630 satellites in low earth orbit that can deliver enterprise-grade broadband connectivity services. Eutelsat OneWeb is expanding its network and ground infrastructure to meet maritime's global requirements. We currently source Eutelsat OneWeb-compatible flat-panel terminals from a third party, and we commenced shipments of terminals and service activations in the second quarter of 2025.</w:t>
      </w:r>
    </w:p>
    <w:p>
      <w:pPr>
        <w:spacing w:after="0" w:line="225" w:lineRule="exact"/>
        <w:rPr>
          <w:sz w:val="20"/>
          <w:szCs w:val="20"/>
          <w:color w:val="auto"/>
        </w:rPr>
      </w:pPr>
    </w:p>
    <w:p>
      <w:pPr>
        <w:jc w:val="both"/>
        <w:ind w:firstLine="521"/>
        <w:spacing w:after="0" w:line="296" w:lineRule="auto"/>
        <w:rPr>
          <w:sz w:val="20"/>
          <w:szCs w:val="20"/>
          <w:color w:val="auto"/>
        </w:rPr>
      </w:pPr>
      <w:r>
        <w:rPr>
          <w:rFonts w:ascii="Times New Roman" w:cs="Times New Roman" w:eastAsia="Times New Roman" w:hAnsi="Times New Roman"/>
          <w:sz w:val="19"/>
          <w:szCs w:val="19"/>
          <w:color w:val="auto"/>
        </w:rPr>
        <w:t>Our TracNet hybrid terminals (TracNet H-series) offer an end-to-end, multichannel connectivity solution. Every TracNet H-series terminal includes an integrated Ku-band VSAT antenna, high-efficiency 5G/LTE cellular antenna, and high-powered Wi-Fi bridge for connections to shore-based Wi-Fi channels. These same cellular and Wi-Fi technologies are also integral components of our TracNet Coastal products. TracNet H-series and Coastal systems offer intelligent hybrid channel switching based on factors such as service availability, costs, and the quality of data transfer. Our TracNet H-series and Coastal systems also offer the option to add two additional third-party services and their companion terminals to serve as alternate primary or backup services. We also continue to service and support our legacy TracPhone VSAT-only terminals. Together with our airtime services, these products provide an end-to-end solution for offshore mobile connectivity to commercial and leisure customers seeking an integrated hardware and service solution for mobile communications and seamless region-to-region roaming. We manufacture the TracNet and TracPhone terminals and provide 24/7/365 after-sale support. We integrate the full rack of discrete below-decks equipment typically used on traditional VSAT systems into a single, streamlined unit that is significantly easier to deploy than competing VSAT solutions.</w:t>
      </w:r>
    </w:p>
    <w:p>
      <w:pPr>
        <w:spacing w:after="0" w:line="21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We offer three TracNet H-series terminals: the 37 cm TracNet H30, the 60 cm TracNet H60, and the 1 meter TracNet H90. These systems all offer multi-channel hybrid connectivity, KVH’s global SIM card, and the option to use customer-supplied SIMs for local cellular service. In addition, each antenna contains the modem in the dome for higher efficiency and reduced signal loss, along with single-cable installation. VSAT data speeds offered by the TracNet systems vary by antenna diameter: TracNet H30 offers maximum speeds of 6/2 Mbps (down/up) and the TracNet H60 and H90 offers maximum speeds of 20/3 Mbps (down/up).</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880" w:h="15480" w:orient="portrait"/>
          <w:cols w:equalWidth="0" w:num="1">
            <w:col w:w="9920"/>
          </w:cols>
          <w:pgMar w:left="980" w:top="905" w:right="980" w:bottom="0" w:gutter="0" w:footer="0" w:header="0"/>
        </w:sectPr>
      </w:pPr>
    </w:p>
    <w:bookmarkStart w:id="7" w:name="page8"/>
    <w:bookmarkEnd w:id="7"/>
    <w:p>
      <w:pPr>
        <w:jc w:val="both"/>
        <w:spacing w:after="0" w:line="303" w:lineRule="auto"/>
        <w:rPr>
          <w:sz w:val="20"/>
          <w:szCs w:val="20"/>
          <w:color w:val="auto"/>
        </w:rPr>
      </w:pPr>
      <w:r>
        <w:rPr>
          <w:rFonts w:ascii="Times New Roman" w:cs="Times New Roman" w:eastAsia="Times New Roman" w:hAnsi="Times New Roman"/>
          <w:sz w:val="19"/>
          <w:szCs w:val="19"/>
          <w:color w:val="auto"/>
        </w:rPr>
        <w:t>These sizes and speeds support a wide range of vessels from leisure craft as small as 40 feet long and small fishing vessels to superyachts and large commercial vessels. Each TracNet H-series terminal includes a belowdeck hub that includes a Wi-Fi router along with support for intelligent automatic channel switching among as many as five discreet Wide Area Networks (WANs), including the integrated VSAT, 5G/cellular, and shore-based Wi-Fi services. Automatic switching is managed based on an array of performance and service cost parameters.</w:t>
      </w:r>
    </w:p>
    <w:p>
      <w:pPr>
        <w:spacing w:after="0" w:line="217" w:lineRule="exact"/>
        <w:rPr>
          <w:sz w:val="20"/>
          <w:szCs w:val="20"/>
          <w:color w:val="auto"/>
        </w:rPr>
      </w:pPr>
    </w:p>
    <w:p>
      <w:pPr>
        <w:jc w:val="both"/>
        <w:ind w:firstLine="522"/>
        <w:spacing w:after="0" w:line="303" w:lineRule="auto"/>
        <w:rPr>
          <w:sz w:val="20"/>
          <w:szCs w:val="20"/>
          <w:color w:val="auto"/>
        </w:rPr>
      </w:pPr>
      <w:r>
        <w:rPr>
          <w:rFonts w:ascii="Times New Roman" w:cs="Times New Roman" w:eastAsia="Times New Roman" w:hAnsi="Times New Roman"/>
          <w:sz w:val="19"/>
          <w:szCs w:val="19"/>
          <w:color w:val="auto"/>
        </w:rPr>
        <w:t>In addition to the TracNet systems, we also continue to offer our TracPhone V30 marine VSAT antenna. The TracPhone V30 combines the small 37 cm antenna size, easy installation, and fast data speed to make Internet connectivity, content streaming, and social media use possible on sailboats, center console boats, and recreational boats. The TracPhone V30 is also well-suited to commercial vessels that don’t voyage globally, including fishing boats, tugboats, and offshore service vessels. We continue to offer refurbished 60 cm TracPhone V7-HTS terminals as part of our AgilePlans Connectivity as a Service program.</w:t>
      </w:r>
    </w:p>
    <w:p>
      <w:pPr>
        <w:spacing w:after="0" w:line="260" w:lineRule="exact"/>
        <w:rPr>
          <w:sz w:val="20"/>
          <w:szCs w:val="20"/>
          <w:color w:val="auto"/>
        </w:rPr>
      </w:pPr>
    </w:p>
    <w:p>
      <w:pPr>
        <w:jc w:val="both"/>
        <w:ind w:right="20" w:firstLine="521"/>
        <w:spacing w:after="0" w:line="307" w:lineRule="auto"/>
        <w:rPr>
          <w:sz w:val="20"/>
          <w:szCs w:val="20"/>
          <w:color w:val="auto"/>
        </w:rPr>
      </w:pPr>
      <w:r>
        <w:rPr>
          <w:rFonts w:ascii="Times New Roman" w:cs="Times New Roman" w:eastAsia="Times New Roman" w:hAnsi="Times New Roman"/>
          <w:sz w:val="19"/>
          <w:szCs w:val="19"/>
          <w:i w:val="1"/>
          <w:iCs w:val="1"/>
          <w:u w:val="single" w:color="auto"/>
          <w:color w:val="auto"/>
        </w:rPr>
        <w:t>5G/Cellular Solutions.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Introduced in late 2024, TracNet Coastal offers multi-channel cellular and Wi-Fi connectivity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intelligent switching enabling customers to automatically switch from satellites to less costly shore-based Wi-Fi networks. In addition, our 5G/cellular service extends the coverage area along the coast and offers data speeds up to 300 Mbps. TracNet Coastal provides global cellular connectivity with easy integration and management of additional WAN connections.</w:t>
      </w:r>
    </w:p>
    <w:p>
      <w:pPr>
        <w:spacing w:after="0" w:line="202"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i w:val="1"/>
          <w:iCs w:val="1"/>
          <w:u w:val="single" w:color="auto"/>
          <w:color w:val="auto"/>
        </w:rPr>
        <w:t>Other Marine Solutions.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our legacy TracPhone systems, we offer CommBox, a ship-to-shore network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product that comprises shipboard hardware, a KVH-hosted or privately-owned shore-based hub, and a suite of software applications. Our CommBox offerings are generally integrated into the majority of our VSAT product offerings. We do not generate significant revenue from sales of standalone CommBox hardware. We have also introduced CommBox Edge, a next-generation network and bandwidth management system and related services through our maritime distribution agreement with Kognitive Networks.</w:t>
      </w:r>
    </w:p>
    <w:p>
      <w:pPr>
        <w:spacing w:after="0" w:line="209"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We also offer Iridium Certus, a next-generation L-band solution providing pole-to-pole global coverage. We currently offer two terminals compatible with Iridium Certus service – the Thales VesseLINK 200 (data speeds as fast as 176/176 Kbps down/up), and the Thales VesseLINK 700 (data speeds as fast as 704/352 Kbps down/up). Optional routing enables onboard data to switch between our KVH ONE hybrid network services and Iridium Certus.</w:t>
      </w:r>
    </w:p>
    <w:p>
      <w:pPr>
        <w:spacing w:after="0" w:line="203"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Unlike our VSAT Broadband airtime, where we control and sell the airtime, we purchase Starlink, Eutelsat OneWeb, Viasat/Inmarsat, Iridium, and regional cellular data directly from these companies and resell it to our customers.</w:t>
      </w:r>
    </w:p>
    <w:p>
      <w:pPr>
        <w:spacing w:after="0" w:line="185"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i w:val="1"/>
          <w:iCs w:val="1"/>
          <w:u w:val="single" w:color="auto"/>
          <w:color w:val="auto"/>
        </w:rPr>
        <w:t>Maritime Satellite TV</w:t>
      </w:r>
      <w:r>
        <w:rPr>
          <w:rFonts w:ascii="Times New Roman" w:cs="Times New Roman" w:eastAsia="Times New Roman" w:hAnsi="Times New Roman"/>
          <w:sz w:val="19"/>
          <w:szCs w:val="19"/>
          <w:color w:val="auto"/>
        </w:rPr>
        <w:t>. Our TracVision TV-series satellite TV antennas are designed with the full spectrum of vessel sizes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mind, ranging from recreational vessels to large commercial vessels. The TV-series incorporate an Internet Protocol (IP)-enabled control unit to allow access to system information from any Wi-Fi device. Our family of marine TracVision products includes the 60 cm diameter TracVision TV6, 81 cm TracVision TV8, and 1 meter TracVision TV10. These products are compatible with Ku-band SDTV and HDTV programming as well as high-powered regional satellite TV services around the globe, based on the available signal strength and antenna size requirements. TracVision TV-series products also offer configuration, status, and service capabilities via the optional, free TracVision application for use on iOS and Android mobile devices.</w:t>
      </w:r>
    </w:p>
    <w:p>
      <w:pPr>
        <w:spacing w:after="0" w:line="216"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Our TracVision UHD7 satellite TV antenna offers a high-definition TV experience comparable to that available to a home DIRECTV HDTV subscriber. The TracVision UHD7 uses a 60 cm diameter satellite TV antenna to receive signals from two DIRECTV Ka-band satellites and one DIRECTV Ku-band satellite simultaneously. It also supports Ku-band DISH Network in the United States, select portions of the Caribbean, and Bell TV in Canada. It includes an IP-enabled antenna control unit and, as with the TracVision TV-series, the TracVision UHD7 offers configuration, status, and service capabilities via the optional, free TracVision application for use on iOS and Android mobile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880" w:h="15480" w:orient="portrait"/>
          <w:cols w:equalWidth="0" w:num="1">
            <w:col w:w="9920"/>
          </w:cols>
          <w:pgMar w:left="980" w:top="902" w:right="980"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b w:val="1"/>
          <w:bCs w:val="1"/>
          <w:color w:val="auto"/>
        </w:rPr>
        <w:t>Sales, Marketing and Support</w:t>
      </w:r>
    </w:p>
    <w:p>
      <w:pPr>
        <w:spacing w:after="0" w:line="29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Our sales, marketing, and support efforts target markets that are substantial and complex, and require, in many cases, networks of intermediaries, such as dealers, distributors, airtime service providers, and manufacturers’ representatives, to reach our end-user customers. These sales channels vary and evolve from time to time, but currently include targeted efforts to reach the commercial and leisure maritime markets. As our business evolves, we may pursue additional sales channels, including direct sales, in various markets. Our brands include:</w:t>
      </w:r>
    </w:p>
    <w:p>
      <w:pPr>
        <w:spacing w:after="0" w:line="198" w:lineRule="exact"/>
        <w:rPr>
          <w:sz w:val="20"/>
          <w:szCs w:val="20"/>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AgilePlans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Connectivity as a Service Program</w:t>
      </w: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CommBox™ – data management software for maritime communications</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CommBox™ Edge – advanced maritime network optimization and management solution</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KVH Link – crew wellbeing content subscription service employing over-the-air and secure drive delivery mechanisms</w:t>
      </w:r>
    </w:p>
    <w:p>
      <w:pPr>
        <w:spacing w:after="0" w:line="40" w:lineRule="exact"/>
        <w:rPr>
          <w:rFonts w:ascii="Times New Roman" w:cs="Times New Roman" w:eastAsia="Times New Roman" w:hAnsi="Times New Roman"/>
          <w:sz w:val="19"/>
          <w:szCs w:val="19"/>
          <w:color w:val="auto"/>
        </w:rPr>
      </w:pPr>
    </w:p>
    <w:p>
      <w:pPr>
        <w:ind w:left="700" w:hanging="343"/>
        <w:spacing w:after="0" w:line="22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KVH 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global hybrid communication network supporting Internet, VoIP, content delivery, and more</w:t>
      </w:r>
    </w:p>
    <w:p>
      <w:pPr>
        <w:ind w:left="700" w:hanging="343"/>
        <w:spacing w:after="0" w:line="222"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KVH OneCare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global services and support for TracNet and TracPhone systems</w:t>
      </w: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MOVIElink™ – movie distribution through a variety of means</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MUSIClink™ – music and karaoke delivered through a variety of means</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NEWSlink™ – maritime news delivery service through a variety of means</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OpenNet – delivering KVH VSAT data services to non-KVH Ku-band VSAT terminals</w:t>
      </w:r>
    </w:p>
    <w:p>
      <w:pPr>
        <w:spacing w:after="0" w:line="47"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TracNet™ – integrated hybrid two-way communication terminals with VSAT, 5G/LTE, and shore-based Wi-Fi</w:t>
      </w:r>
    </w:p>
    <w:p>
      <w:pPr>
        <w:spacing w:after="0" w:line="40" w:lineRule="exact"/>
        <w:rPr>
          <w:rFonts w:ascii="Times New Roman" w:cs="Times New Roman" w:eastAsia="Times New Roman" w:hAnsi="Times New Roman"/>
          <w:sz w:val="19"/>
          <w:szCs w:val="19"/>
          <w:color w:val="auto"/>
        </w:rPr>
      </w:pPr>
    </w:p>
    <w:p>
      <w:pPr>
        <w:ind w:left="700" w:hanging="343"/>
        <w:spacing w:after="0" w:line="228"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TracPhone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two-way VSAT-only satellite communications systems</w:t>
      </w:r>
    </w:p>
    <w:p>
      <w:pPr>
        <w:ind w:left="700" w:hanging="343"/>
        <w:spacing w:after="0" w:line="222"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TracVision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 satellite television systems for vessels and vehicles</w:t>
      </w:r>
    </w:p>
    <w:p>
      <w:pPr>
        <w:ind w:left="700" w:hanging="343"/>
        <w:spacing w:after="0"/>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TVlink™ – television programming delivered through a variety of means</w:t>
      </w:r>
    </w:p>
    <w:p>
      <w:pPr>
        <w:spacing w:after="0" w:line="303"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We sell our products directly and through an international network of independent retailers, chain stores, distributors, and service providers as well as to manufacturers of vessels, maritime equipment, and vehicles.</w:t>
      </w:r>
    </w:p>
    <w:p>
      <w:pPr>
        <w:spacing w:after="0" w:line="175"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We sell entertainment media, news, and sports content directly through our KVH Media Group, headquartered in Leeds, England.</w:t>
      </w:r>
    </w:p>
    <w:p>
      <w:pPr>
        <w:spacing w:after="0" w:line="174"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Our European headquarters, which is located in Denmark, coordinates our sales, marketing, and support efforts for our products in Europe, the Middle East, and Africa. Our Asia-Pacific headquarters are managed through our office in Singapore.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357"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We currently hold intellectual property rights relating to various aspects of our hardware products, software and services. We believe that our ability to compete effectively depends in part on our ability to protect these intellectual property rights and our proprietary information. We rely primarily on patent, copyright and trade secret laws, trademarks, service marks, trade dress, confidentiality procedures, and licensing arrangements to protect our intellectual property rights in the U.S. and a select number of other countries where we determine that such protection is beneficial. When appropriate, we seek to file patent applications to protect innovations arising from our research, development and design activities. As of December 31, 2025, our patent portfolio included approximately three U.S. issued utility patents. We also register our trademarks in the United States and other key international markets where we do business. Our patents will expire at various dates between May 2031 and May 2032. We enter into confidentiality agreements with our consultants, key employees, and sales representatives and maintain controls over access to and distribution of our technology, software, and other proprietary information.</w:t>
      </w:r>
    </w:p>
    <w:p>
      <w:pPr>
        <w:spacing w:after="0" w:line="26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From time to time, we have faced claims by third parties that our products or technologies infringe their patents or other intellectual property rights. We do not conduct exhaustive patent searches to determine whether the technology used in our products infringes patents held by third parties. In addition, product development is inherently uncertain in a rapidly evolving technological environment in which there may be numerous patent applications pending, many of which are confidential when filed, with regard to similar technologies.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880" w:h="15480" w:orient="portrait"/>
          <w:cols w:equalWidth="0" w:num="1">
            <w:col w:w="9920"/>
          </w:cols>
          <w:pgMar w:left="980" w:top="899" w:right="980"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35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Manufacturing operations for our products consist of light manufacture, final assembly and testing. We manufacture, warehouse and distribute our products at our facilities in Middletown, Rhode Island. Our manufacturing processes are controlled by an ISO 9001:2015-certified quality standards program. We plan to migrate to a new facility in Bristol, Rhode Island in the spring of 2026. The new facility is currently scheduled to be audited for its ISO 9001:2015-certification in the second quarter of 2026.</w:t>
      </w:r>
    </w:p>
    <w:p>
      <w:pPr>
        <w:spacing w:after="0" w:line="219"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We are winding down our product manufacturing operations and currently plan to discontinue substantially all manufacturing activities by the end of 2026 and concentrate instead on growing sales of our multi-orbit, multi-channel, integrated communications solutions, including a transition to rely increasingly, and eventually exclusively, on third-party hardware compatible with our solutions.</w:t>
      </w:r>
    </w:p>
    <w:p>
      <w:pPr>
        <w:spacing w:after="0" w:line="214"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During the third quarter of 2024, we commenced our plan to sell the warehouse building and surface parking lot located at 75 Enterprise Center in Middletown, Rhode Island. The sale was completed in September 2025. The Company also entered into an agreement with the buyer to lease this property until the end of March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Raw Materials, Components and Services</w:t>
      </w:r>
    </w:p>
    <w:p>
      <w:pPr>
        <w:spacing w:after="0" w:line="357"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We purchase raw materials and most of the components used in our various manufacturing processes, such as printed circuit boards, injection-molded plastic parts, machined metal components, connectors and housings. In addition, we purchase certain services, predominantly networking and mobile broadband services, to support the delivery of our solutions.</w:t>
      </w:r>
    </w:p>
    <w:p>
      <w:pPr>
        <w:spacing w:after="0" w:line="248"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The materials, molds and dies, subassemblies and components purchased from other manufacturers, and other materials and supplies used in our manufacturing processes have generally been available from a variety of sources. We believe there are a number of acceptable vendors for the components we purchase. We regularly evaluate both domestic and foreign suppliers for quality, dependability and cost effectiveness. From time to time the cost and availability of materials and services is affected by the demands of other industries, as well as other factors. Whenever practical, we seek to establish multiple sources for the purchase of raw materials, components and services to achieve competitive pricing, maintain flexibility, reduce tariff exposure, and protect against supply disruption. When possible, we employ a company-wide procurement strategy designed to reduce the purchase price of materials, purchased components and services.</w:t>
      </w:r>
    </w:p>
    <w:p>
      <w:pPr>
        <w:spacing w:after="0" w:line="266"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For reasons of quality assurance, scarcity or cost effectiveness, certain components and raw materials used in the manufacturing of our products, as well as certain services utilized in the delivery of our solutions, are available only from a limited number of suppliers or from a sole source supplier. We work with our suppliers to develop contingency plans intended to assure continuity of supply while maintaining high quality and reliability, and in some cases, we have established long-term supply contracts with our suppliers. Due to the nature of certain raw materials, purchased components and services, we may not be able to quickly establish additional or replacement sources for certain components, materials or services. In the event that we are unable to obtain sufficient quantities of raw materials or components or unable to obtain sufficient access to the services needed to deliver our solutions on commercially reasonable terms or in a timely manner, our ability to manufacture and deliver our products and services on a timely and cost-competitive basis may be compromised, which may have a material adverse effect on our business, financial condition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Working Capital and Seasonality</w:t>
      </w:r>
    </w:p>
    <w:p>
      <w:pPr>
        <w:spacing w:after="0" w:line="346"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We hold significant inventory to support our customers and provide prompt delivery of finished goods. As a consequence, we expend substantial working capital in advance of receipt of customer orders. In addition, we have increased our inventory substantially as we ramp up production in order to generate a targeted amount of inventory of maritime satellite connectivity and satellite television terminals to meet anticipated demand, as we are winding down our product manufacturing operations at our Middletown, Rhode Island location. We plan to migrate to a new facility in Bristol, Rhode Island in the spring of 2026 and intend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0" w:orient="portrait"/>
          <w:cols w:equalWidth="0" w:num="1">
            <w:col w:w="9920"/>
          </w:cols>
          <w:pgMar w:left="980" w:top="899" w:right="980" w:bottom="0" w:gutter="0" w:footer="0" w:header="0"/>
        </w:sectPr>
      </w:pPr>
    </w:p>
    <w:bookmarkStart w:id="10" w:name="page11"/>
    <w:bookmarkEnd w:id="10"/>
    <w:p>
      <w:pPr>
        <w:jc w:val="both"/>
        <w:spacing w:after="0" w:line="335" w:lineRule="auto"/>
        <w:rPr>
          <w:sz w:val="20"/>
          <w:szCs w:val="20"/>
          <w:color w:val="auto"/>
        </w:rPr>
      </w:pPr>
      <w:r>
        <w:rPr>
          <w:rFonts w:ascii="Times New Roman" w:cs="Times New Roman" w:eastAsia="Times New Roman" w:hAnsi="Times New Roman"/>
          <w:sz w:val="19"/>
          <w:szCs w:val="19"/>
          <w:color w:val="auto"/>
        </w:rPr>
        <w:t>to cease substantially all manufacturing activity by the end of 2026. We expect to continue to facilitate customer transition to third-party hardware products compatible with our mobile satellite communications services.</w:t>
      </w:r>
    </w:p>
    <w:p>
      <w:pPr>
        <w:spacing w:after="0" w:line="18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Our leisure marine business is highly seasonal, and seasonality can also impact our commercial marine business, particularly in the commercial fishing market. Historically, we have generated the majority of our marine leisure product revenues during the first and second quarters of each year, and these revenues typically decline in the third and fourth quarters of each year. Temporary suspensions of our airtime services typically increase in the fourth and first quarters of each year as boats are placed out of service during the winter months.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317"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We encounter intense competition in the markets we serve, and we expect the intensity of competition to continue to increase in the future. Many of our primary competitors are large, well-established companies, many have substantially greater financial, managerial, technical, marketing, operational, and other resources than we do, and others have entered the markets with significantly disruptive new technology and services.</w:t>
      </w:r>
    </w:p>
    <w:p>
      <w:pPr>
        <w:spacing w:after="0" w:line="214" w:lineRule="exact"/>
        <w:rPr>
          <w:sz w:val="20"/>
          <w:szCs w:val="20"/>
          <w:color w:val="auto"/>
        </w:rPr>
      </w:pPr>
    </w:p>
    <w:p>
      <w:pPr>
        <w:jc w:val="both"/>
        <w:ind w:left="20" w:firstLine="521"/>
        <w:spacing w:after="0" w:line="284" w:lineRule="auto"/>
        <w:rPr>
          <w:sz w:val="20"/>
          <w:szCs w:val="20"/>
          <w:color w:val="auto"/>
        </w:rPr>
      </w:pPr>
      <w:r>
        <w:rPr>
          <w:rFonts w:ascii="Times New Roman" w:cs="Times New Roman" w:eastAsia="Times New Roman" w:hAnsi="Times New Roman"/>
          <w:sz w:val="19"/>
          <w:szCs w:val="19"/>
          <w:color w:val="auto"/>
        </w:rPr>
        <w:t>In the marine market for high- speed Internet, voice, fax, and data services, we compete primarily with Marlink, Navarino, Speedcast, Viasat/Inmarsat, Elcome, Station Satcom and Network Innovations. More recently, SpaceX’s Starlink has emerged as a significant competitor with flat-panel, electronically steered array (ESA) terminals and its new LEO network. Other LEO services, such as Eutelsat OneWeb, are also entering the market. In addition, we face some competition from providers of low-speed data services, which include Viasat/Inmarsat and Iridium.</w:t>
      </w:r>
    </w:p>
    <w:p>
      <w:pPr>
        <w:spacing w:after="0" w:line="217" w:lineRule="exact"/>
        <w:rPr>
          <w:sz w:val="20"/>
          <w:szCs w:val="20"/>
          <w:color w:val="auto"/>
        </w:rPr>
      </w:pPr>
    </w:p>
    <w:p>
      <w:pPr>
        <w:jc w:val="both"/>
        <w:ind w:left="20" w:firstLine="521"/>
        <w:spacing w:after="0" w:line="314" w:lineRule="auto"/>
        <w:rPr>
          <w:sz w:val="20"/>
          <w:szCs w:val="20"/>
          <w:color w:val="auto"/>
        </w:rPr>
      </w:pPr>
      <w:r>
        <w:rPr>
          <w:rFonts w:ascii="Times New Roman" w:cs="Times New Roman" w:eastAsia="Times New Roman" w:hAnsi="Times New Roman"/>
          <w:sz w:val="19"/>
          <w:szCs w:val="19"/>
          <w:color w:val="auto"/>
        </w:rPr>
        <w:t>In the marine market for voice, fax, data, and Internet communications equipment, we compete primarily with Intellian and Cobham with regard to parabolic antennas. The emergence of ESA terminals from companies like Starlink has significantly increased competitive pressure on traditional parabolic antennas.</w:t>
      </w:r>
    </w:p>
    <w:p>
      <w:pPr>
        <w:spacing w:after="0" w:line="208" w:lineRule="exact"/>
        <w:rPr>
          <w:sz w:val="20"/>
          <w:szCs w:val="20"/>
          <w:color w:val="auto"/>
        </w:rPr>
      </w:pPr>
    </w:p>
    <w:p>
      <w:pPr>
        <w:jc w:val="both"/>
        <w:ind w:left="20" w:firstLine="521"/>
        <w:spacing w:after="0" w:line="337" w:lineRule="auto"/>
        <w:rPr>
          <w:sz w:val="20"/>
          <w:szCs w:val="20"/>
          <w:color w:val="auto"/>
        </w:rPr>
      </w:pPr>
      <w:r>
        <w:rPr>
          <w:rFonts w:ascii="Times New Roman" w:cs="Times New Roman" w:eastAsia="Times New Roman" w:hAnsi="Times New Roman"/>
          <w:sz w:val="19"/>
          <w:szCs w:val="19"/>
          <w:color w:val="auto"/>
        </w:rPr>
        <w:t>In the markets for media content, we compete primarily with Swank Motion Pictures, FrontM, Baze Technology, and PressReader.</w:t>
      </w:r>
    </w:p>
    <w:p>
      <w:pPr>
        <w:spacing w:after="0" w:line="185" w:lineRule="exact"/>
        <w:rPr>
          <w:sz w:val="20"/>
          <w:szCs w:val="20"/>
          <w:color w:val="auto"/>
        </w:rPr>
      </w:pPr>
    </w:p>
    <w:p>
      <w:pPr>
        <w:jc w:val="both"/>
        <w:ind w:left="20" w:firstLine="521"/>
        <w:spacing w:after="0" w:line="314" w:lineRule="auto"/>
        <w:rPr>
          <w:sz w:val="20"/>
          <w:szCs w:val="20"/>
          <w:color w:val="auto"/>
        </w:rPr>
      </w:pPr>
      <w:r>
        <w:rPr>
          <w:rFonts w:ascii="Times New Roman" w:cs="Times New Roman" w:eastAsia="Times New Roman" w:hAnsi="Times New Roman"/>
          <w:sz w:val="19"/>
          <w:szCs w:val="19"/>
          <w:color w:val="auto"/>
        </w:rPr>
        <w:t>In the marine market for satellite TV equipment, we compete primarily with Intellian, Cobham satcom and Raymarine (Intellian-made). Traditional satellite TV products and services in the marine market also face pressure from the rising use of streaming services, which are more practical in marine applications following the launch of high-speed, lower-cost LEO services.</w:t>
      </w:r>
    </w:p>
    <w:p>
      <w:pPr>
        <w:spacing w:after="0" w:line="208" w:lineRule="exact"/>
        <w:rPr>
          <w:sz w:val="20"/>
          <w:szCs w:val="20"/>
          <w:color w:val="auto"/>
        </w:rPr>
      </w:pPr>
    </w:p>
    <w:p>
      <w:pPr>
        <w:jc w:val="both"/>
        <w:ind w:left="20" w:firstLine="521"/>
        <w:spacing w:after="0" w:line="301" w:lineRule="auto"/>
        <w:rPr>
          <w:sz w:val="20"/>
          <w:szCs w:val="20"/>
          <w:color w:val="auto"/>
        </w:rPr>
      </w:pPr>
      <w:r>
        <w:rPr>
          <w:rFonts w:ascii="Times New Roman" w:cs="Times New Roman" w:eastAsia="Times New Roman" w:hAnsi="Times New Roman"/>
          <w:sz w:val="19"/>
          <w:szCs w:val="19"/>
          <w:color w:val="auto"/>
        </w:rPr>
        <w:t>In the markets for airtime services, the principal competitive factors are price, geographic coverage, data speed, and value-added services. In the markets for media content, the principal competitive factors are price, license rights, and distribution. In the markets for mobile satellite connectivity products, the principal competitive factors are price, product size, features, design, performance, and reliability. As noted above, as a result of increased competition, we are winding down our product manufacturing operations. We currently expect to continue to offer KVH-manufactured VSAT and satellite TV terminals through 2026 as part of our plan to gradually transition customers to third-party hardware.</w:t>
      </w:r>
    </w:p>
    <w:p>
      <w:pPr>
        <w:spacing w:after="0" w:line="220" w:lineRule="exact"/>
        <w:rPr>
          <w:sz w:val="20"/>
          <w:szCs w:val="20"/>
          <w:color w:val="auto"/>
        </w:rPr>
      </w:pPr>
    </w:p>
    <w:p>
      <w:pPr>
        <w:jc w:val="both"/>
        <w:ind w:left="20" w:firstLine="521"/>
        <w:spacing w:after="0" w:line="307" w:lineRule="auto"/>
        <w:rPr>
          <w:sz w:val="20"/>
          <w:szCs w:val="20"/>
          <w:color w:val="auto"/>
        </w:rPr>
      </w:pPr>
      <w:r>
        <w:rPr>
          <w:rFonts w:ascii="Times New Roman" w:cs="Times New Roman" w:eastAsia="Times New Roman" w:hAnsi="Times New Roman"/>
          <w:sz w:val="19"/>
          <w:szCs w:val="19"/>
          <w:color w:val="auto"/>
        </w:rPr>
        <w:t>In our markets for airtime services and media content, we believe that we compete favorably with respect to a majority of these factors based on our existing products and services, our new vendor relationships and services such as our agreement with Eutelsat OneWeb, and our expanding suite of integrated solutions with advanced network and bandwidth management. However, there can be no assurance that we will continue to do so.</w:t>
      </w:r>
    </w:p>
    <w:p>
      <w:pPr>
        <w:spacing w:after="0" w:line="214" w:lineRule="exact"/>
        <w:rPr>
          <w:sz w:val="20"/>
          <w:szCs w:val="20"/>
          <w:color w:val="auto"/>
        </w:rPr>
      </w:pPr>
    </w:p>
    <w:p>
      <w:pPr>
        <w:jc w:val="both"/>
        <w:ind w:left="20" w:firstLine="521"/>
        <w:spacing w:after="0" w:line="301" w:lineRule="auto"/>
        <w:rPr>
          <w:sz w:val="20"/>
          <w:szCs w:val="20"/>
          <w:color w:val="auto"/>
        </w:rPr>
      </w:pPr>
      <w:r>
        <w:rPr>
          <w:rFonts w:ascii="Times New Roman" w:cs="Times New Roman" w:eastAsia="Times New Roman" w:hAnsi="Times New Roman"/>
          <w:sz w:val="19"/>
          <w:szCs w:val="19"/>
          <w:color w:val="auto"/>
        </w:rPr>
        <w:t>For 2026, we anticipate ongoing demand for our hybrid connectivity solutions offering LEO, GEO and 5G/LTE Cellular connectivity. While we are seeing overall reductions in the level of GEO services purchased, our commercial customers have historically preferred redundancy of communications to minimize potential disruptions and ensure that vessel-critical data is always available. As such, we anticipate that a significant number of customers will continue to desire to maintain GEO connectivity, albeit at a reduced level, while LEO capacity is being increased. We are also facing increased competition from providers such as Marlink, Navarino, and Speedcast, who are offering fully managed IT services in addition to communications.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0" w:orient="portrait"/>
          <w:cols w:equalWidth="0" w:num="1">
            <w:col w:w="9920"/>
          </w:cols>
          <w:pgMar w:left="980" w:top="902" w:right="980" w:bottom="0" w:gutter="0" w:footer="0" w:header="0"/>
        </w:sectPr>
      </w:pPr>
    </w:p>
    <w:bookmarkStart w:id="11" w:name="page12"/>
    <w:bookmarkEnd w:id="11"/>
    <w:p>
      <w:pPr>
        <w:jc w:val="both"/>
        <w:ind w:right="20"/>
        <w:spacing w:after="0" w:line="335" w:lineRule="auto"/>
        <w:rPr>
          <w:sz w:val="20"/>
          <w:szCs w:val="20"/>
          <w:color w:val="auto"/>
        </w:rPr>
      </w:pPr>
      <w:r>
        <w:rPr>
          <w:rFonts w:ascii="Times New Roman" w:cs="Times New Roman" w:eastAsia="Times New Roman" w:hAnsi="Times New Roman"/>
          <w:sz w:val="19"/>
          <w:szCs w:val="19"/>
          <w:color w:val="auto"/>
        </w:rPr>
        <w:t>These services may make it more difficult for us to compete, particularly with customers who prefer a single-source provider for both communications and managed IT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pacing w:after="0" w:line="358" w:lineRule="exact"/>
        <w:rPr>
          <w:sz w:val="20"/>
          <w:szCs w:val="20"/>
          <w:color w:val="auto"/>
        </w:rPr>
      </w:pPr>
    </w:p>
    <w:p>
      <w:pPr>
        <w:jc w:val="both"/>
        <w:ind w:firstLine="521"/>
        <w:spacing w:after="0" w:line="316" w:lineRule="auto"/>
        <w:rPr>
          <w:sz w:val="20"/>
          <w:szCs w:val="20"/>
          <w:color w:val="auto"/>
        </w:rPr>
      </w:pPr>
      <w:r>
        <w:rPr>
          <w:rFonts w:ascii="Times New Roman" w:cs="Times New Roman" w:eastAsia="Times New Roman" w:hAnsi="Times New Roman"/>
          <w:sz w:val="18"/>
          <w:szCs w:val="18"/>
          <w:color w:val="auto"/>
        </w:rPr>
        <w:t>Focused, efficient investments in research and development are important to our future growth and competitive position in the marketplace. Our research and development efforts are directly related to timely development of new and enhanced services and related products that are central to our core business strategy and our ability to drive profitable and sustainable growth. The industries in which we compete are subject to rapid technological developments, evolving industry standards, changes in customer requirements, and new service and product introductions and enhancements. As a result, our success depends in part upon our ability, on a cost-effective and timely basis, to continue to enhance our existing services and to develop and introduce new products and services that improve performance and meet customers’ operational and cost requirements. Our current research and development activities relate to value-added services supporting platforms and emerging non-geostationary satellite orbit (NGSO) products and services, specifically Starlink and Eutelsat OneWeb, and efforts to integrate these into our overall maritime offering.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357"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Our manufacturing operations are subject to various laws governing the protection of the environment and our employees. These laws and regulations are subject to change, and any such change may require us to improve our technologies, incur expenditures, or both, in order to comply with such laws and regulations.</w:t>
      </w:r>
    </w:p>
    <w:p>
      <w:pPr>
        <w:spacing w:after="0" w:line="248"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We are also subject to the laws and regulations of the U.S. and foreign jurisdictions in which we offer and sell our satellite and wireless communication products and services, including those of the European Union, Brazil, Norway, Singapore, Japan and India. Many of the countries where our customers use our products and services have licensing and regulatory requirements for the importation and use of satellite and wireless communications and reception equipment, including the certification or type approval of such equipment, the use of such equipment in territorial waters, the transmission of satellite and wireless signals on certain radio frequencies, the carriage of VoIP services using such equipment, and, in some cases, the reception of certain video programming services. In the U.S., many of these matters are regulated by the Federal Communications Commission.</w:t>
      </w:r>
    </w:p>
    <w:p>
      <w:pPr>
        <w:spacing w:after="0" w:line="265"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As a result of our international operations, we are subject to a number of additional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which we do business. Our operations are also subject to various domestic and international privacy laws, including the European Union’s General Data Protection Regulation.</w:t>
      </w:r>
    </w:p>
    <w:p>
      <w:pPr>
        <w:spacing w:after="0" w:line="260"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These laws and regulations, as well as the interpretation and application of these laws and regulations, are subject to change, and any such change may affect our ability to offer and sell existing and planned satellite communications products and services.</w:t>
      </w: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For more information, see “Risk Factors – Risks related to government regulation.”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KVH Team Demographics</w:t>
      </w:r>
    </w:p>
    <w:p>
      <w:pPr>
        <w:spacing w:after="0" w:line="317"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KVH team members are essential to the success of KVH. We had 300 team members as of December 31, 2025, including full-time employees, part-time employees, and long-term contractors. The figures in this section provide information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0" w:orient="portrait"/>
          <w:cols w:equalWidth="0" w:num="1">
            <w:col w:w="9920"/>
          </w:cols>
          <w:pgMar w:left="980" w:top="902" w:right="980"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color w:val="auto"/>
        </w:rPr>
        <mc:AlternateContent>
          <mc:Choice Requires="wps">
            <w:drawing>
              <wp:anchor simplePos="0" relativeHeight="251657728" behindDoc="1" locked="0" layoutInCell="0" allowOverlap="1">
                <wp:simplePos x="0" y="0"/>
                <wp:positionH relativeFrom="page">
                  <wp:posOffset>2099310</wp:posOffset>
                </wp:positionH>
                <wp:positionV relativeFrom="page">
                  <wp:posOffset>586105</wp:posOffset>
                </wp:positionV>
                <wp:extent cx="3345180" cy="62484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45180" cy="624840"/>
                        </a:xfrm>
                        <a:prstGeom prst="rect">
                          <a:avLst/>
                        </a:prstGeom>
                        <a:solidFill>
                          <a:srgbClr val="E6E6E6"/>
                        </a:solidFill>
                      </wps:spPr>
                      <wps:bodyPr/>
                    </wps:wsp>
                  </a:graphicData>
                </a:graphic>
              </wp:anchor>
            </w:drawing>
          </mc:Choice>
          <mc:Fallback>
            <w:pict>
              <v:rect id="Shape 6" o:spid="_x0000_s1031" style="position:absolute;margin-left:165.3pt;margin-top:46.15pt;width:263.4pt;height:4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6E6E6" stroked="f">
                <w10:wrap anchorx="page" anchory="page"/>
              </v:rect>
            </w:pict>
          </mc:Fallback>
        </mc:AlternateContent>
        <w:t>KVH Team Member Headcount</w:t>
      </w:r>
    </w:p>
    <w:p>
      <w:pPr>
        <w:spacing w:after="0" w:line="171" w:lineRule="exact"/>
        <w:rPr>
          <w:sz w:val="20"/>
          <w:szCs w:val="20"/>
          <w:color w:val="auto"/>
        </w:rPr>
      </w:pPr>
    </w:p>
    <w:tbl>
      <w:tblPr>
        <w:tblLayout w:type="fixed"/>
        <w:tblInd w:w="2320" w:type="dxa"/>
        <w:tblCellMar>
          <w:top w:w="0" w:type="dxa"/>
          <w:left w:w="0" w:type="dxa"/>
          <w:bottom w:w="0" w:type="dxa"/>
          <w:right w:w="0" w:type="dxa"/>
        </w:tblCellMar>
      </w:tblPr>
      <w:tr>
        <w:trPr>
          <w:trHeight w:val="221"/>
        </w:trPr>
        <w:tc>
          <w:tcPr>
            <w:tcW w:w="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186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19"/>
                <w:szCs w:val="19"/>
                <w:b w:val="1"/>
                <w:bCs w:val="1"/>
                <w:color w:val="auto"/>
                <w:shd w:val="clear" w:color="auto" w:fill="E6E6E6"/>
              </w:rPr>
              <w:t>Number at December</w:t>
            </w: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3200" w:type="dxa"/>
            <w:vAlign w:val="bottom"/>
            <w:vMerge w:val="restart"/>
            <w:shd w:val="clear" w:color="auto" w:fill="E6E6E6"/>
          </w:tcPr>
          <w:p>
            <w:pPr>
              <w:ind w:left="1220"/>
              <w:spacing w:after="0"/>
              <w:rPr>
                <w:sz w:val="20"/>
                <w:szCs w:val="20"/>
                <w:color w:val="auto"/>
              </w:rPr>
            </w:pPr>
            <w:r>
              <w:rPr>
                <w:rFonts w:ascii="Times New Roman" w:cs="Times New Roman" w:eastAsia="Times New Roman" w:hAnsi="Times New Roman"/>
                <w:sz w:val="19"/>
                <w:szCs w:val="19"/>
                <w:b w:val="1"/>
                <w:bCs w:val="1"/>
                <w:color w:val="auto"/>
              </w:rPr>
              <w:t>Category</w:t>
            </w:r>
          </w:p>
        </w:tc>
        <w:tc>
          <w:tcPr>
            <w:tcW w:w="100" w:type="dxa"/>
            <w:vAlign w:val="bottom"/>
            <w:vMerge w:val="continue"/>
          </w:tcPr>
          <w:p>
            <w:pPr>
              <w:spacing w:after="0"/>
              <w:rPr>
                <w:sz w:val="6"/>
                <w:szCs w:val="6"/>
                <w:color w:val="auto"/>
              </w:rPr>
            </w:pPr>
          </w:p>
        </w:tc>
        <w:tc>
          <w:tcPr>
            <w:tcW w:w="1860" w:type="dxa"/>
            <w:vAlign w:val="bottom"/>
            <w:vMerge w:val="continue"/>
            <w:shd w:val="clear" w:color="auto" w:fill="E6E6E6"/>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vMerge w:val="continue"/>
            <w:shd w:val="clear" w:color="auto" w:fill="E6E6E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shd w:val="clear" w:color="auto" w:fill="E6E6E6"/>
          </w:tcPr>
          <w:p>
            <w:pPr>
              <w:jc w:val="right"/>
              <w:ind w:right="503"/>
              <w:spacing w:after="0"/>
              <w:rPr>
                <w:sz w:val="20"/>
                <w:szCs w:val="20"/>
                <w:color w:val="auto"/>
              </w:rPr>
            </w:pPr>
            <w:r>
              <w:rPr>
                <w:rFonts w:ascii="Times New Roman" w:cs="Times New Roman" w:eastAsia="Times New Roman" w:hAnsi="Times New Roman"/>
                <w:sz w:val="19"/>
                <w:szCs w:val="19"/>
                <w:b w:val="1"/>
                <w:bCs w:val="1"/>
                <w:color w:val="auto"/>
              </w:rPr>
              <w:t>31, 2025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Full-time employees</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258</w:t>
            </w:r>
          </w:p>
        </w:tc>
        <w:tc>
          <w:tcPr>
            <w:tcW w:w="0" w:type="dxa"/>
            <w:vAlign w:val="bottom"/>
          </w:tcPr>
          <w:p>
            <w:pPr>
              <w:spacing w:after="0"/>
              <w:rPr>
                <w:sz w:val="1"/>
                <w:szCs w:val="1"/>
                <w:color w:val="auto"/>
              </w:rPr>
            </w:pPr>
          </w:p>
        </w:tc>
      </w:tr>
      <w:tr>
        <w:trPr>
          <w:trHeight w:val="305"/>
        </w:trPr>
        <w:tc>
          <w:tcPr>
            <w:tcW w:w="60" w:type="dxa"/>
            <w:vAlign w:val="bottom"/>
            <w:shd w:val="clear" w:color="auto" w:fill="E6E6E6"/>
          </w:tcPr>
          <w:p>
            <w:pPr>
              <w:spacing w:after="0"/>
              <w:rPr>
                <w:sz w:val="24"/>
                <w:szCs w:val="24"/>
                <w:color w:val="auto"/>
              </w:rPr>
            </w:pPr>
          </w:p>
        </w:tc>
        <w:tc>
          <w:tcPr>
            <w:tcW w:w="32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Part-time employees</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27</w:t>
            </w: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color w:val="auto"/>
              </w:rPr>
              <w:t>Long-term contractors/consultants</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305"/>
        </w:trPr>
        <w:tc>
          <w:tcPr>
            <w:tcW w:w="60" w:type="dxa"/>
            <w:vAlign w:val="bottom"/>
            <w:tcBorders>
              <w:bottom w:val="single" w:sz="8" w:color="auto"/>
            </w:tcBorders>
            <w:shd w:val="clear" w:color="auto" w:fill="E6E6E6"/>
          </w:tcPr>
          <w:p>
            <w:pPr>
              <w:spacing w:after="0"/>
              <w:rPr>
                <w:sz w:val="24"/>
                <w:szCs w:val="24"/>
                <w:color w:val="auto"/>
              </w:rPr>
            </w:pPr>
          </w:p>
        </w:tc>
        <w:tc>
          <w:tcPr>
            <w:tcW w:w="320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9"/>
                <w:szCs w:val="19"/>
                <w:color w:val="auto"/>
              </w:rPr>
              <w:t>Temporary employees</w:t>
            </w:r>
          </w:p>
        </w:tc>
        <w:tc>
          <w:tcPr>
            <w:tcW w:w="2020" w:type="dxa"/>
            <w:vAlign w:val="bottom"/>
            <w:tcBorders>
              <w:bottom w:val="single" w:sz="8" w:color="auto"/>
            </w:tcBorders>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300</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Our team members are directly responsible for the creation, development, manufacture, marketing, sale, repair and support of our products and services. Because we sell and support our products globally, we have a globally distributed workforce to manufacture products in the U.S. and support our customers in the U.S. and internationally: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1752600</wp:posOffset>
                </wp:positionH>
                <wp:positionV relativeFrom="paragraph">
                  <wp:posOffset>165100</wp:posOffset>
                </wp:positionV>
                <wp:extent cx="2794000" cy="62484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4000" cy="624840"/>
                        </a:xfrm>
                        <a:prstGeom prst="rect">
                          <a:avLst/>
                        </a:prstGeom>
                        <a:solidFill>
                          <a:srgbClr val="E6E6E6"/>
                        </a:solidFill>
                      </wps:spPr>
                      <wps:bodyPr/>
                    </wps:wsp>
                  </a:graphicData>
                </a:graphic>
              </wp:anchor>
            </w:drawing>
          </mc:Choice>
          <mc:Fallback>
            <w:pict>
              <v:rect id="Shape 7" o:spid="_x0000_s1032" style="position:absolute;margin-left:138pt;margin-top:13pt;width:220pt;height:4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KVH Team Member Headcount</w:t>
      </w:r>
    </w:p>
    <w:p>
      <w:pPr>
        <w:spacing w:after="0" w:line="171" w:lineRule="exact"/>
        <w:rPr>
          <w:sz w:val="20"/>
          <w:szCs w:val="20"/>
          <w:color w:val="auto"/>
        </w:rPr>
      </w:pPr>
    </w:p>
    <w:tbl>
      <w:tblPr>
        <w:tblLayout w:type="fixed"/>
        <w:tblInd w:w="2760" w:type="dxa"/>
        <w:tblCellMar>
          <w:top w:w="0" w:type="dxa"/>
          <w:left w:w="0" w:type="dxa"/>
          <w:bottom w:w="0" w:type="dxa"/>
          <w:right w:w="0" w:type="dxa"/>
        </w:tblCellMar>
      </w:tblPr>
      <w:tr>
        <w:trPr>
          <w:trHeight w:val="252"/>
        </w:trPr>
        <w:tc>
          <w:tcPr>
            <w:tcW w:w="60" w:type="dxa"/>
            <w:vAlign w:val="bottom"/>
          </w:tcPr>
          <w:p>
            <w:pPr>
              <w:spacing w:after="0"/>
              <w:rPr>
                <w:sz w:val="21"/>
                <w:szCs w:val="21"/>
                <w:color w:val="auto"/>
              </w:rPr>
            </w:pPr>
          </w:p>
        </w:tc>
        <w:tc>
          <w:tcPr>
            <w:tcW w:w="2320" w:type="dxa"/>
            <w:vAlign w:val="bottom"/>
            <w:tcBorders>
              <w:bottom w:val="single" w:sz="8" w:color="E6E6E6"/>
            </w:tcBorders>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E6E6E6"/>
            </w:tcBorders>
            <w:shd w:val="clear" w:color="auto" w:fill="E6E6E6"/>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at December</w:t>
            </w:r>
          </w:p>
        </w:tc>
        <w:tc>
          <w:tcPr>
            <w:tcW w:w="60" w:type="dxa"/>
            <w:vAlign w:val="bottom"/>
          </w:tcPr>
          <w:p>
            <w:pPr>
              <w:spacing w:after="0"/>
              <w:rPr>
                <w:sz w:val="21"/>
                <w:szCs w:val="21"/>
                <w:color w:val="auto"/>
              </w:rPr>
            </w:pPr>
          </w:p>
        </w:tc>
      </w:tr>
      <w:tr>
        <w:trPr>
          <w:trHeight w:val="274"/>
        </w:trPr>
        <w:tc>
          <w:tcPr>
            <w:tcW w:w="60" w:type="dxa"/>
            <w:vAlign w:val="bottom"/>
          </w:tcPr>
          <w:p>
            <w:pPr>
              <w:spacing w:after="0"/>
              <w:rPr>
                <w:sz w:val="23"/>
                <w:szCs w:val="23"/>
                <w:color w:val="auto"/>
              </w:rPr>
            </w:pPr>
          </w:p>
        </w:tc>
        <w:tc>
          <w:tcPr>
            <w:tcW w:w="2320" w:type="dxa"/>
            <w:vAlign w:val="bottom"/>
            <w:shd w:val="clear" w:color="auto" w:fill="E6E6E6"/>
          </w:tcPr>
          <w:p>
            <w:pPr>
              <w:ind w:left="800"/>
              <w:spacing w:after="0"/>
              <w:rPr>
                <w:sz w:val="20"/>
                <w:szCs w:val="20"/>
                <w:color w:val="auto"/>
              </w:rPr>
            </w:pPr>
            <w:r>
              <w:rPr>
                <w:rFonts w:ascii="Times New Roman" w:cs="Times New Roman" w:eastAsia="Times New Roman" w:hAnsi="Times New Roman"/>
                <w:sz w:val="19"/>
                <w:szCs w:val="19"/>
                <w:b w:val="1"/>
                <w:bCs w:val="1"/>
                <w:color w:val="auto"/>
              </w:rPr>
              <w:t>Country</w:t>
            </w:r>
          </w:p>
        </w:tc>
        <w:tc>
          <w:tcPr>
            <w:tcW w:w="100" w:type="dxa"/>
            <w:vAlign w:val="bottom"/>
          </w:tcPr>
          <w:p>
            <w:pPr>
              <w:spacing w:after="0"/>
              <w:rPr>
                <w:sz w:val="23"/>
                <w:szCs w:val="23"/>
                <w:color w:val="auto"/>
              </w:rPr>
            </w:pPr>
          </w:p>
        </w:tc>
        <w:tc>
          <w:tcPr>
            <w:tcW w:w="1860" w:type="dxa"/>
            <w:vAlign w:val="bottom"/>
            <w:shd w:val="clear" w:color="auto" w:fill="E6E6E6"/>
          </w:tcPr>
          <w:p>
            <w:pPr>
              <w:jc w:val="right"/>
              <w:ind w:right="483"/>
              <w:spacing w:after="0"/>
              <w:rPr>
                <w:sz w:val="20"/>
                <w:szCs w:val="20"/>
                <w:color w:val="auto"/>
              </w:rPr>
            </w:pPr>
            <w:r>
              <w:rPr>
                <w:rFonts w:ascii="Times New Roman" w:cs="Times New Roman" w:eastAsia="Times New Roman" w:hAnsi="Times New Roman"/>
                <w:sz w:val="19"/>
                <w:szCs w:val="19"/>
                <w:b w:val="1"/>
                <w:bCs w:val="1"/>
                <w:color w:val="auto"/>
              </w:rPr>
              <w:t>31, 2025</w:t>
            </w:r>
          </w:p>
        </w:tc>
        <w:tc>
          <w:tcPr>
            <w:tcW w:w="60" w:type="dxa"/>
            <w:vAlign w:val="bottom"/>
          </w:tcPr>
          <w:p>
            <w:pPr>
              <w:spacing w:after="0"/>
              <w:rPr>
                <w:sz w:val="23"/>
                <w:szCs w:val="23"/>
                <w:color w:val="auto"/>
              </w:rPr>
            </w:pPr>
          </w:p>
        </w:tc>
      </w:tr>
      <w:tr>
        <w:trPr>
          <w:trHeight w:val="305"/>
        </w:trPr>
        <w:tc>
          <w:tcPr>
            <w:tcW w:w="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United States</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110</w:t>
            </w:r>
          </w:p>
        </w:tc>
      </w:tr>
      <w:tr>
        <w:trPr>
          <w:trHeight w:val="303"/>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United Kingdom</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68</w:t>
            </w:r>
          </w:p>
        </w:tc>
      </w:tr>
      <w:tr>
        <w:trPr>
          <w:trHeight w:val="305"/>
        </w:trPr>
        <w:tc>
          <w:tcPr>
            <w:tcW w:w="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Philippines</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64</w:t>
            </w:r>
          </w:p>
        </w:tc>
      </w:tr>
      <w:tr>
        <w:trPr>
          <w:trHeight w:val="303"/>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Singapore</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25</w:t>
            </w:r>
          </w:p>
        </w:tc>
      </w:tr>
      <w:tr>
        <w:trPr>
          <w:trHeight w:val="305"/>
        </w:trPr>
        <w:tc>
          <w:tcPr>
            <w:tcW w:w="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India</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9</w:t>
            </w:r>
          </w:p>
        </w:tc>
      </w:tr>
      <w:tr>
        <w:trPr>
          <w:trHeight w:val="303"/>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Greece</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6</w:t>
            </w:r>
          </w:p>
        </w:tc>
      </w:tr>
      <w:tr>
        <w:trPr>
          <w:trHeight w:val="305"/>
        </w:trPr>
        <w:tc>
          <w:tcPr>
            <w:tcW w:w="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Denmark</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4</w:t>
            </w:r>
          </w:p>
        </w:tc>
      </w:tr>
      <w:tr>
        <w:trPr>
          <w:trHeight w:val="303"/>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Norway</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3</w:t>
            </w:r>
          </w:p>
        </w:tc>
      </w:tr>
      <w:tr>
        <w:trPr>
          <w:trHeight w:val="305"/>
        </w:trPr>
        <w:tc>
          <w:tcPr>
            <w:tcW w:w="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9"/>
                <w:szCs w:val="19"/>
                <w:color w:val="auto"/>
              </w:rPr>
              <w:t>Brazil</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w:t>
            </w:r>
          </w:p>
        </w:tc>
      </w:tr>
      <w:tr>
        <w:trPr>
          <w:trHeight w:val="303"/>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Hong Kong</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2</w:t>
            </w:r>
          </w:p>
        </w:tc>
      </w:tr>
      <w:tr>
        <w:trPr>
          <w:trHeight w:val="303"/>
        </w:trPr>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Other</w:t>
            </w:r>
          </w:p>
        </w:tc>
        <w:tc>
          <w:tcPr>
            <w:tcW w:w="2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7</w:t>
            </w:r>
          </w:p>
        </w:tc>
      </w:tr>
      <w:tr>
        <w:trPr>
          <w:trHeight w:val="285"/>
        </w:trPr>
        <w:tc>
          <w:tcPr>
            <w:tcW w:w="60" w:type="dxa"/>
            <w:vAlign w:val="bottom"/>
            <w:shd w:val="clear" w:color="auto" w:fill="E6E6E6"/>
          </w:tcPr>
          <w:p>
            <w:pPr>
              <w:spacing w:after="0"/>
              <w:rPr>
                <w:sz w:val="24"/>
                <w:szCs w:val="24"/>
                <w:color w:val="auto"/>
              </w:rPr>
            </w:pPr>
          </w:p>
        </w:tc>
        <w:tc>
          <w:tcPr>
            <w:tcW w:w="23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20" w:type="dxa"/>
            <w:vAlign w:val="bottom"/>
            <w:gridSpan w:val="3"/>
            <w:shd w:val="clear" w:color="auto" w:fill="E6E6E6"/>
          </w:tcPr>
          <w:p>
            <w:pPr>
              <w:jc w:val="right"/>
              <w:ind w:right="60"/>
              <w:spacing w:after="0"/>
              <w:rPr>
                <w:sz w:val="20"/>
                <w:szCs w:val="20"/>
                <w:color w:val="auto"/>
              </w:rPr>
            </w:pPr>
            <w:r>
              <w:rPr>
                <w:rFonts w:ascii="Times New Roman" w:cs="Times New Roman" w:eastAsia="Times New Roman" w:hAnsi="Times New Roman"/>
                <w:sz w:val="19"/>
                <w:szCs w:val="19"/>
                <w:color w:val="auto"/>
              </w:rPr>
              <w:t>300</w:t>
            </w:r>
          </w:p>
        </w:tc>
      </w:tr>
    </w:tbl>
    <w:p>
      <w:pPr>
        <w:spacing w:after="0" w:line="278"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Approximately 53 team members, or 17.7%, are directly involved in supporting our technology in positions such as engineers, technicians, or software developers.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Employee Engagement</w:t>
      </w:r>
    </w:p>
    <w:p>
      <w:pPr>
        <w:spacing w:after="0" w:line="317"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We believe we generally have strong relationships with our workforce. In 2025, our global turnover rate was 8.3%. There was no executive leadership turnover for 2025.</w:t>
      </w:r>
    </w:p>
    <w:p>
      <w:pPr>
        <w:spacing w:after="0" w:line="184" w:lineRule="exact"/>
        <w:rPr>
          <w:sz w:val="20"/>
          <w:szCs w:val="20"/>
          <w:color w:val="auto"/>
        </w:rPr>
      </w:pPr>
    </w:p>
    <w:p>
      <w:pPr>
        <w:jc w:val="both"/>
        <w:ind w:left="20" w:firstLine="521"/>
        <w:spacing w:after="0" w:line="314" w:lineRule="auto"/>
        <w:rPr>
          <w:sz w:val="20"/>
          <w:szCs w:val="20"/>
          <w:color w:val="auto"/>
        </w:rPr>
      </w:pPr>
      <w:r>
        <w:rPr>
          <w:rFonts w:ascii="Times New Roman" w:cs="Times New Roman" w:eastAsia="Times New Roman" w:hAnsi="Times New Roman"/>
          <w:sz w:val="19"/>
          <w:szCs w:val="19"/>
          <w:color w:val="auto"/>
        </w:rPr>
        <w:t>The average length of employee service is 9.75 years. The continuity of our employee base is important to the success of our business, as our employees have deep knowledge of our products and are critical to the services that we provide to our customers.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Inclusion and Diversity</w:t>
      </w:r>
    </w:p>
    <w:p>
      <w:pPr>
        <w:spacing w:after="0" w:line="317"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KVH strives to recruit and retain a diverse and inclusive workforce in a manner consistent with federal and state anti-discrimination laws. We believe this approach enables better business decisions, enhanced product development, and superior customer service. Our diversity and inclusion principles are also reflected in our employee training, in particular with respect to our policies against discrimination and harassment in the workplace.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0" w:orient="portrait"/>
          <w:cols w:equalWidth="0" w:num="1">
            <w:col w:w="9920"/>
          </w:cols>
          <w:pgMar w:left="980" w:top="972" w:right="980"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u w:val="single" w:color="auto"/>
          <w:color w:val="auto"/>
        </w:rPr>
        <w:t>Competitive Pay and Benefits</w:t>
      </w:r>
    </w:p>
    <w:p>
      <w:pPr>
        <w:spacing w:after="0" w:line="316"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KVH’s compensation programs are designed to align the compensation of our employees with KVH’s performance and provide incentives to attract, retain and motivate employees to achieve superior results. The structure of our compensation programs balances incentive earnings for both short-term and long-term performance. Specifically:</w:t>
      </w:r>
    </w:p>
    <w:p>
      <w:pPr>
        <w:spacing w:after="0" w:line="208" w:lineRule="exact"/>
        <w:rPr>
          <w:sz w:val="20"/>
          <w:szCs w:val="20"/>
          <w:color w:val="auto"/>
        </w:rPr>
      </w:pPr>
    </w:p>
    <w:p>
      <w:pPr>
        <w:ind w:left="700" w:hanging="343"/>
        <w:spacing w:after="0" w:line="29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provide employee wages that we believe are competitive and consistent with employee positions, skill levels, experience, knowledge, and geographic location.</w:t>
      </w:r>
    </w:p>
    <w:p>
      <w:pPr>
        <w:ind w:left="700" w:hanging="343"/>
        <w:spacing w:after="0" w:line="29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review compensation and benefits surveys to obtain relevant industry data in order to benchmark our practices against those of industry peers.</w:t>
      </w:r>
    </w:p>
    <w:p>
      <w:pPr>
        <w:jc w:val="both"/>
        <w:ind w:left="700" w:hanging="343"/>
        <w:spacing w:after="0" w:line="29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seek to align the interests of our executives with those of our shareholders by paying a significant portion of our executives’ total compensation in the form of equity awards, which increase in value as the price of our common stock increases.</w:t>
      </w:r>
    </w:p>
    <w:p>
      <w:pPr>
        <w:spacing w:after="0" w:line="1" w:lineRule="exact"/>
        <w:rPr>
          <w:rFonts w:ascii="Times New Roman" w:cs="Times New Roman" w:eastAsia="Times New Roman" w:hAnsi="Times New Roman"/>
          <w:sz w:val="19"/>
          <w:szCs w:val="19"/>
          <w:color w:val="auto"/>
        </w:rPr>
      </w:pPr>
    </w:p>
    <w:p>
      <w:pPr>
        <w:ind w:left="700" w:right="20" w:hanging="343"/>
        <w:spacing w:after="0" w:line="29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salary increases and incentive compensation include adjustments based on merit, which is communicated to employees through our annual review process and upon internal transfers and/or promotions.</w:t>
      </w:r>
    </w:p>
    <w:p>
      <w:pPr>
        <w:ind w:left="700" w:hanging="343"/>
        <w:spacing w:after="0" w:line="337"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U.S. employees are eligible for health insurance, paid and unpaid leaves, a retirement plan and life and disability/accident coverage, subject to applicable regulations. Benefits for international employees vary by country.</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u w:val="single" w:color="auto"/>
          <w:color w:val="auto"/>
        </w:rPr>
        <w:t>Health and Safety</w:t>
      </w:r>
    </w:p>
    <w:p>
      <w:pPr>
        <w:spacing w:after="0" w:line="318"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We are committed to protecting the health and safety of our employees and others who enter our facilities. In 2025, KVH’s Occupational Safety and Health Administration (OSHA) total recordable incident rate was 0.0%, which is favorable compared to the 2025 OSHA national average of 2.6%.</w:t>
      </w:r>
    </w:p>
    <w:p>
      <w:pPr>
        <w:spacing w:after="0" w:line="208" w:lineRule="exact"/>
        <w:rPr>
          <w:sz w:val="20"/>
          <w:szCs w:val="20"/>
          <w:color w:val="auto"/>
        </w:rPr>
      </w:pPr>
    </w:p>
    <w:p>
      <w:pPr>
        <w:jc w:val="both"/>
        <w:ind w:left="20" w:firstLine="521"/>
        <w:spacing w:after="0" w:line="314" w:lineRule="auto"/>
        <w:rPr>
          <w:sz w:val="20"/>
          <w:szCs w:val="20"/>
          <w:color w:val="auto"/>
        </w:rPr>
      </w:pPr>
      <w:r>
        <w:rPr>
          <w:rFonts w:ascii="Times New Roman" w:cs="Times New Roman" w:eastAsia="Times New Roman" w:hAnsi="Times New Roman"/>
          <w:sz w:val="19"/>
          <w:szCs w:val="19"/>
          <w:color w:val="auto"/>
        </w:rPr>
        <w:t>We are committed to continued improvements to our safety, health, and wellness programs to meet our employees’ needs, which we believe are critical to attract and retain talent. We believe that creating a safe and supportive workplace is vital to our success.</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u w:val="single" w:color="auto"/>
          <w:color w:val="auto"/>
        </w:rPr>
        <w:t>KVH Team Member Recruitment</w:t>
      </w:r>
    </w:p>
    <w:p>
      <w:pPr>
        <w:spacing w:after="0" w:line="318" w:lineRule="exact"/>
        <w:rPr>
          <w:sz w:val="20"/>
          <w:szCs w:val="20"/>
          <w:color w:val="auto"/>
        </w:rPr>
      </w:pPr>
    </w:p>
    <w:p>
      <w:pPr>
        <w:jc w:val="both"/>
        <w:ind w:right="20" w:firstLine="521"/>
        <w:spacing w:after="0" w:line="314" w:lineRule="auto"/>
        <w:rPr>
          <w:sz w:val="20"/>
          <w:szCs w:val="20"/>
          <w:color w:val="auto"/>
        </w:rPr>
      </w:pPr>
      <w:r>
        <w:rPr>
          <w:rFonts w:ascii="Times New Roman" w:cs="Times New Roman" w:eastAsia="Times New Roman" w:hAnsi="Times New Roman"/>
          <w:sz w:val="19"/>
          <w:szCs w:val="19"/>
          <w:color w:val="auto"/>
        </w:rPr>
        <w:t>We work diligently to attract the best available talent from a diverse range of sources to meet the current and future demands of our business. We have established relationships with major universities, professional associations, and industry groups to proactively attract talent. In 2025, we hired 37 professional level team members.</w:t>
      </w: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1A.</w:t>
        <w:tab/>
        <w:t>Risk Factors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2769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494.05pt,0.85pt" o:allowincell="f" strokecolor="#000000" strokeweight="0.926pt"/>
            </w:pict>
          </mc:Fallback>
        </mc:AlternateContent>
      </w:r>
    </w:p>
    <w:p>
      <w:pPr>
        <w:jc w:val="both"/>
        <w:ind w:firstLine="521"/>
        <w:spacing w:after="0" w:line="306" w:lineRule="auto"/>
        <w:rPr>
          <w:sz w:val="20"/>
          <w:szCs w:val="20"/>
          <w:color w:val="auto"/>
        </w:rPr>
      </w:pPr>
      <w:r>
        <w:rPr>
          <w:rFonts w:ascii="Times New Roman" w:cs="Times New Roman" w:eastAsia="Times New Roman" w:hAnsi="Times New Roman"/>
          <w:sz w:val="19"/>
          <w:szCs w:val="19"/>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our financial performance</w:t>
      </w:r>
    </w:p>
    <w:p>
      <w:pPr>
        <w:spacing w:after="0" w:line="29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We have a history of losses, and achieving sustained profitability may take longer than we anticipate or may not be achievable.</w:t>
      </w:r>
    </w:p>
    <w:p>
      <w:pPr>
        <w:spacing w:after="0" w:line="17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We recorded substantial losses in each of the last six fiscal years (notwithstanding the income we recognized in 2025 from the sale of 50 Enterprise Center and 75 Enterprise Center, in 2022 from the sale of the inertial navigation business and in 2021 from the forgiveness of a PPP loan). We may continue to incur losses as we face increasingly stiff competition. Our recent restructuring, workforce reductions and other cost-reduction measures may be insufficient to offset reductions in our revenues, which are continuing. Recent inflation in the prices of goods and services, including wages, has also hampered our ability to improve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0" w:orient="portrait"/>
          <w:cols w:equalWidth="0" w:num="1">
            <w:col w:w="9920"/>
          </w:cols>
          <w:pgMar w:left="980" w:top="899" w:right="980" w:bottom="0" w:gutter="0" w:footer="0" w:header="0"/>
        </w:sectPr>
      </w:pPr>
    </w:p>
    <w:bookmarkStart w:id="14" w:name="page15"/>
    <w:bookmarkEnd w:id="14"/>
    <w:p>
      <w:pPr>
        <w:jc w:val="both"/>
        <w:ind w:right="20"/>
        <w:spacing w:after="0" w:line="298" w:lineRule="auto"/>
        <w:rPr>
          <w:sz w:val="20"/>
          <w:szCs w:val="20"/>
          <w:color w:val="auto"/>
        </w:rPr>
      </w:pPr>
      <w:r>
        <w:rPr>
          <w:rFonts w:ascii="Times New Roman" w:cs="Times New Roman" w:eastAsia="Times New Roman" w:hAnsi="Times New Roman"/>
          <w:sz w:val="19"/>
          <w:szCs w:val="19"/>
          <w:color w:val="auto"/>
        </w:rPr>
        <w:t>profitability. In order to maintain and improve our competitive position, generate revenue and achieve sustained profitability, we must continue to grow our airtime subscriber base, reduce our bandwidth and other costs, and continue to introduce new and improved solutions. Our inability to accomplish any of these goals could have a material adverse effect on our revenues, profitability and cash flow, and we cannot provide assurances as to when, or whether, we will achieve sustained profitability. Our agreements to purchase VSAT airtime contain certain minimum fixed annual expenditure requirements through the end of 2027. Our bandwidth consumption was below those minimums for 2025, resulting in the purchase of $1.5 million of VSAT airtime in excess of usage. Future failures to meet contractual minimums could cause us to incur expenses in excess of our needs, reducing our margins, perhaps substantially.</w:t>
      </w:r>
    </w:p>
    <w:p>
      <w:pPr>
        <w:spacing w:after="0" w:line="263"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19"/>
          <w:szCs w:val="19"/>
          <w:b w:val="1"/>
          <w:bCs w:val="1"/>
          <w:color w:val="auto"/>
        </w:rPr>
        <w:t>Our losses may continue to increase substantially if we are unable to effectively adapt to changes in our business and industry.</w:t>
      </w:r>
    </w:p>
    <w:p>
      <w:pPr>
        <w:spacing w:after="0" w:line="215" w:lineRule="exact"/>
        <w:rPr>
          <w:sz w:val="20"/>
          <w:szCs w:val="20"/>
          <w:color w:val="auto"/>
        </w:rPr>
      </w:pPr>
    </w:p>
    <w:p>
      <w:pPr>
        <w:jc w:val="both"/>
        <w:ind w:firstLine="1"/>
        <w:spacing w:after="0" w:line="296" w:lineRule="auto"/>
        <w:rPr>
          <w:sz w:val="20"/>
          <w:szCs w:val="20"/>
          <w:color w:val="auto"/>
        </w:rPr>
      </w:pPr>
      <w:r>
        <w:rPr>
          <w:rFonts w:ascii="Times New Roman" w:cs="Times New Roman" w:eastAsia="Times New Roman" w:hAnsi="Times New Roman"/>
          <w:sz w:val="19"/>
          <w:szCs w:val="19"/>
          <w:color w:val="auto"/>
        </w:rPr>
        <w:t>The traditional geosynchronous satellite communications industry is experiencing significant disruption arising from customers’ rapid transition to less expensive LEO services, including Starlink and Eutelsat OneWeb, as well as increased reliance on other forms of data transmission, including Wi-Fi and cellular data services. Like others in our industry, we are experiencing significantly reduced demand for our traditional satellite communications services and products, which we expect will continue. Although we are adapting to this transition by becoming an authorized reseller of Starlink, Eutelsat OneWeb, and cellular data services and related products, there can be no assurance that we will generate the same level of revenue or gross margin from these sources that we previously derived from sales of VSAT airtime and related products. Moreover, our VSAT services require a separate infrastructure, which generates certain costs that are relatively fixed for a period of time, including certain minimum annual purchase obligations for VSAT airtime services through 2027. As customers transition away from VSAT services, our remaining VSAT services become less profitable and may eventually become insufficiently profitable to continue, especially considering our fixed commitments. If we are unable to efficiently operate both VSAT and LEO services and cost-effectively manage the ongoing transition to the latter, the expenses we incur will continue to exceed our revenues and thereby increase our losses.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Fluctuations in our quarterly net sales and results of operations could depress the market price of our common stock.</w:t>
      </w:r>
    </w:p>
    <w:p>
      <w:pPr>
        <w:spacing w:after="0" w:line="31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9"/>
          <w:szCs w:val="19"/>
          <w:color w:val="auto"/>
        </w:rPr>
        <w:t>Our quarterly net sales and results of operations could continue to vary significantly for various reasons, many of which are outside our control. For example, service sales declined 6.6% in the second quarter of 2025 compared to the second quarter of 2024, and product sales decreased 52.3% in the fourth quarter of 2025 compared to the fourth quarter of 2024.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the impact of tariffs on goods and services we purchase;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the expenses associated with relocating our facilities from Middletown, Rhode Island to Bristol, Rhode Island;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$5.5 million charge related to an inventory write-down in the third quarter of 2025; the $5.2 million charge related to an inventory write-down in the fourth quarter of 2023; the $3.6 million provision for excess purchase order obligations; the $2.1 million charge for the discontinuation of a project for implementing a new manufacturing-centric accounting system that we recorded in the fourth quarter of 2023 and the $1.1 million impairment charges to long-lived assets we recorded in the third quarter of 2024; expenses incurred in responding to stockholder activism; general economic climate; seasonality of pleasure boat and recreational vehicle usage; and the impact of supply chain disruptions.</w:t>
      </w:r>
    </w:p>
    <w:p>
      <w:pPr>
        <w:spacing w:after="0" w:line="238" w:lineRule="exact"/>
        <w:rPr>
          <w:sz w:val="20"/>
          <w:szCs w:val="20"/>
          <w:color w:val="auto"/>
        </w:rPr>
      </w:pPr>
    </w:p>
    <w:p>
      <w:pPr>
        <w:jc w:val="both"/>
        <w:ind w:right="20"/>
        <w:spacing w:after="0" w:line="337" w:lineRule="auto"/>
        <w:rPr>
          <w:sz w:val="20"/>
          <w:szCs w:val="20"/>
          <w:color w:val="auto"/>
        </w:rPr>
      </w:pPr>
      <w:r>
        <w:rPr>
          <w:rFonts w:ascii="Times New Roman" w:cs="Times New Roman" w:eastAsia="Times New Roman" w:hAnsi="Times New Roman"/>
          <w:sz w:val="19"/>
          <w:szCs w:val="19"/>
          <w:color w:val="auto"/>
        </w:rPr>
        <w:t>A large portion of our expenses, including expenses for network infrastructure, facilities, equipment, and personnel, are relatively fixed. For example, our agreements to purchase VSAT airtime contain certain minimum fixed annual expenditure requirements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15</w:t>
      </w:r>
    </w:p>
    <w:p>
      <w:pPr>
        <w:sectPr>
          <w:pgSz w:w="11880" w:h="15480" w:orient="portrait"/>
          <w:cols w:equalWidth="0" w:num="1">
            <w:col w:w="9940"/>
          </w:cols>
          <w:pgMar w:left="980" w:top="902" w:right="960" w:bottom="0" w:gutter="0" w:footer="0" w:header="0"/>
        </w:sectPr>
      </w:pPr>
    </w:p>
    <w:bookmarkStart w:id="15" w:name="page16"/>
    <w:bookmarkEnd w:id="15"/>
    <w:p>
      <w:pPr>
        <w:jc w:val="both"/>
        <w:spacing w:after="0" w:line="298" w:lineRule="auto"/>
        <w:rPr>
          <w:sz w:val="20"/>
          <w:szCs w:val="20"/>
          <w:color w:val="auto"/>
        </w:rPr>
      </w:pPr>
      <w:r>
        <w:rPr>
          <w:rFonts w:ascii="Times New Roman" w:cs="Times New Roman" w:eastAsia="Times New Roman" w:hAnsi="Times New Roman"/>
          <w:sz w:val="19"/>
          <w:szCs w:val="19"/>
          <w:color w:val="auto"/>
        </w:rPr>
        <w:t>through the end of 2027. Our bandwidth consumption was below those minimums for 2025, resulting in the purchase of $1.5 million of VSAT airtime in excess of usage. More recently, in an effort to drive increased margins and lower the data cost of goods sold, we committed to purchase a larger block of Starlink Global Priority data for $45.0 million. We prepaid $5.0 million of this amount during the fourth quarter of 2025, an additional $10.0 million in January 2026 and an additional $6.0 million in February 2026. We must pay the remaining $24.0 million balance in four equal periodic payments through the first quarter of 2027. Accordingly, these contract minimums may result in purchasing airtime in excess of our customers’ anticipated usage. If our net sales continue to decline, our operating margins will also likely decline. Any failure to achieve anticipated net sales could therefore significantly harm our operating results.</w:t>
      </w:r>
    </w:p>
    <w:p>
      <w:pPr>
        <w:spacing w:after="0" w:line="22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A material increase in sales of third-party airtime services and products could reduce our gross margins and our profitability.</w:t>
      </w:r>
    </w:p>
    <w:p>
      <w:pPr>
        <w:spacing w:after="0" w:line="21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gross margin percentage from our VSAT airtime services in some cases exceeds the gross margin percentage from other third-party products and airtime services. To the extent that the mix of airtime services we sell continues to shift away from VSAT services, our gross profit dollars may continue to decline materially if we are unable to significantly increase revenue on non-VSAT airtime services, which will reduce our profitability.</w:t>
      </w:r>
    </w:p>
    <w:p>
      <w:pPr>
        <w:spacing w:after="0" w:line="21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We generate revenue primarily through the resale of satellite airtime services, and our inability to acquire satellite services capacity and resell it at a sufficient profit would materially and adversely affect our business.</w:t>
      </w:r>
    </w:p>
    <w:p>
      <w:pPr>
        <w:spacing w:after="0" w:line="21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2025, we generated 82% of our revenue from the resale of airtime services. We acquire satellite service capacity from a small number of available providers, primarily SpaceX's Starlink, SES and Eutelsat OneWeb, and seek to generate a profit primarily by purchasing these services in bulk or at wholesale prices that we anticipate will allow us to resell those services to our customers at higher prices. For several years, our gross margins from these services have been insufficient to allow us to operate profitably. Although we have certain agreements with our airtime providers that specify the prices we pay them for specified amounts of airtime services to be delivered over short periods of time, our providers have no obligation to renew those agreements when they expire. Accordingly, our future costs of airtime services could increase, perhaps substantially, which could perpetuate or increase our losses and make it more difficult to achieve profitability. Moreover, intensifying competition in the market for airtime services has led, and may continue to lead, to price reductions that impair our margins. When we fix prices and quantities for future airtime, we may overestimate our ability to resell that airtime at attractive margins or at all. Our suppliers also offer their airtime services both directly and through other providers, and at any time they may reduce the prices they charge to other customers, reduce the airtime they allocate to us, increase minimum purchase commitments, modify the terms and conditions of resale, or otherwise change the nature of our relationship in a manner adverse to us. The number of airtime providers is very small, and we may be unable to make alternative arrangements with any other provider. Any future inability to acquire airtime at attractive prices, in sufficient quantities and on acceptable terms may have a material adverse effect on our business, revenue and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our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planned transition to reliance on third-party hardware products may be unsuccessful.</w:t>
      </w:r>
    </w:p>
    <w:p>
      <w:pPr>
        <w:spacing w:after="0" w:line="35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In February 2024, we announced a staged wind-down of our product manufacturing operations, which was driven by reduced demand for our hardware products in the face of intensifying competition. We plan to discontinue substantially all manufacturing activities by the end of 2026 and concentrate instead on growing sales of our multi-orbit, multi-channel, integrated communications solutions, including a transition to rely increasingly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(such as our $5.5 million charge related to an inventory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0" w:orient="portrait"/>
          <w:cols w:equalWidth="0" w:num="1">
            <w:col w:w="9920"/>
          </w:cols>
          <w:pgMar w:left="980" w:top="902" w:right="980" w:bottom="0" w:gutter="0" w:footer="0" w:header="0"/>
        </w:sectPr>
      </w:pPr>
    </w:p>
    <w:bookmarkStart w:id="16" w:name="page17"/>
    <w:bookmarkEnd w:id="16"/>
    <w:p>
      <w:pPr>
        <w:jc w:val="both"/>
        <w:spacing w:after="0" w:line="301" w:lineRule="auto"/>
        <w:rPr>
          <w:sz w:val="20"/>
          <w:szCs w:val="20"/>
          <w:color w:val="auto"/>
        </w:rPr>
      </w:pPr>
      <w:r>
        <w:rPr>
          <w:rFonts w:ascii="Times New Roman" w:cs="Times New Roman" w:eastAsia="Times New Roman" w:hAnsi="Times New Roman"/>
          <w:sz w:val="19"/>
          <w:szCs w:val="19"/>
          <w:color w:val="auto"/>
        </w:rPr>
        <w:t>write-down in the third quarter of 2025), unanticipated expenses, and increased competition for service customers from product manufacturers. If we were to experience an unexpected resurgence in demand for our products, we may be unable to restart internal production or to engage a third party to reliably manufacture and deliver them on time and at an affordable cost. Accordingly, this strategic transition entails meaningful execution risk, particularly in light of our reductions-in-force in 2024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future success will depend in part on the services of our executive officers and key employees.</w:t>
      </w:r>
    </w:p>
    <w:p>
      <w:pPr>
        <w:spacing w:after="0" w:line="3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9"/>
          <w:szCs w:val="19"/>
          <w:color w:val="auto"/>
        </w:rPr>
        <w:t>The Company's future success depends to a significant degree on the skills and efforts of our executive officers and key employees. Most of our executive officers and key employees are at-will employees. Competition for senior management is intense,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21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If we cannot effectively manage changes in our business and continue to attract and retain skilled personnel, our business may suffer.</w:t>
      </w:r>
    </w:p>
    <w:p>
      <w:pPr>
        <w:spacing w:after="0" w:line="17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If we cannot adjust expenses in response to changes in our operations, our results of operations may be harmed. For example, the relatively fixed costs associated with our manufacturing operations sometimes prevent us from reducing those costs quickly in response to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effectively, particularly in light of the substantial provision for excess and obsolete inventory that we recorded in the third quarter of 2025 and the fourth quarter of 2023; effectively manage our working capital; ensure robust cybersecurity protection of KVH and customer data and systems; and ensure that our procedures and internal controls are revised and updated to remain effective for our smaller workforce and the reduced size and scale of our business operations. We currently plan to relocate our operations to a new facility in early 2026. There can be no assurance that the relocation will not materially disrupt our operations and adversely affect our business, financial condition and results of operations.</w:t>
      </w:r>
    </w:p>
    <w:p>
      <w:pPr>
        <w:spacing w:after="0" w:line="28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We are highly dependent on qualified personnel at all levels, including our senior management team and other key technical, operational, managerial and sales and marketing personnel, each of whom would be difficult to replace. Our reductions-in-force in 2024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Our decision to relocate our facilities from Middletown, Rhode Island to Bristol, Rhode Island may cause us to lose employees, which may impact our business operations.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Future strategic activities could disrupt our business and affect our results of operations.</w:t>
      </w:r>
    </w:p>
    <w:p>
      <w:pPr>
        <w:spacing w:after="0" w:line="3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aggregate charges of approximately $14.8 million, consisting of a $5.2 million non-cash charge related to an inventory write-down in 2023, approximately $3.9 million of severance charges, a $3.6 million provision for excess purchase order obligations, and a $2.1 million charge for the discontinuation of a project for implementing a new manufacturing-centric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0" w:orient="portrait"/>
          <w:cols w:equalWidth="0" w:num="1">
            <w:col w:w="9920"/>
          </w:cols>
          <w:pgMar w:left="980" w:top="902" w:right="980" w:bottom="0" w:gutter="0" w:footer="0" w:header="0"/>
        </w:sectPr>
      </w:pPr>
    </w:p>
    <w:bookmarkStart w:id="17" w:name="page18"/>
    <w:bookmarkEnd w:id="17"/>
    <w:p>
      <w:pPr>
        <w:jc w:val="both"/>
        <w:ind w:firstLine="1"/>
        <w:spacing w:after="0" w:line="296" w:lineRule="auto"/>
        <w:rPr>
          <w:sz w:val="20"/>
          <w:szCs w:val="20"/>
          <w:color w:val="auto"/>
        </w:rPr>
      </w:pPr>
      <w:r>
        <w:rPr>
          <w:rFonts w:ascii="Times New Roman" w:cs="Times New Roman" w:eastAsia="Times New Roman" w:hAnsi="Times New Roman"/>
          <w:sz w:val="19"/>
          <w:szCs w:val="19"/>
          <w:color w:val="auto"/>
        </w:rPr>
        <w:t>accounting system. We may also choose to dispose of assets or make strategic divestitures, such as the sale of our inertial navigation business in August 2022. In the third quarter of 2025, we completed the sale of the warehouse building and surface parking lot located at 75 Enterprise Center in Middletown, Rhode Island. In the second quarter of 2025, we completed the sale of the property, building, improvements, and land located at 50 Enterprise Center in Middletown, Rhode Island. These efforts may not succeed in improving profitability. Any changes such as these could be disruptive to our business and could result in significant expense, including losses on any asset disposition or divestiture (such as the $0.3 million loss on the sale of 75 Enterprise Center),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the relocation of our facilities,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must generate a certain level of service sales in order to maintain or improve our service gross margins.</w:t>
      </w:r>
    </w:p>
    <w:p>
      <w:pPr>
        <w:spacing w:after="0" w:line="31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As a result of our global satellite network infrastructure, we incur certain costs that generally do not vary directly in proportion to the volume of service sales, and we have limited ability to reduce these fixed costs. If service sales, including through our AgilePlans subscription model, continue to decline, our service gross margins will also continue to decline, particularly if the contractual minimum expenditure requirements of our VSAT airtime supply agreements, referred to above, continue to require us to make payments in excess of our needs. The failure to improve our global VSAT service gross margins and unit sales would have a material adverse effect on our overall profitability.</w:t>
      </w:r>
    </w:p>
    <w:p>
      <w:pPr>
        <w:spacing w:after="0" w:line="22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In the fourth quarter of 2025, we entered into an agreement to purchase a large block of Starlink Mobile Priority data at favorable rates. We prepaid $5.0 million of this amount during the fourth quarter of 2025, an additional $10.0 million in January 2026 and an additional $6.0 million in February 2026. We must pay the remaining balance of $24.0 million in periodic payments through the first quarter of 2027.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would expect to expense the applicable portion at the time of each such determination.</w:t>
      </w:r>
    </w:p>
    <w:p>
      <w:pPr>
        <w:spacing w:after="0" w:line="222"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19"/>
          <w:szCs w:val="19"/>
          <w:b w:val="1"/>
          <w:bCs w:val="1"/>
          <w:color w:val="auto"/>
        </w:rPr>
        <w:t>Our ability to compete in the maritime airtime services market will be impaired if we are unable to provide sufficient service capacity to meet customer demand.</w:t>
      </w:r>
    </w:p>
    <w:p>
      <w:pPr>
        <w:spacing w:after="0" w:line="1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We currently offer our global HTS VSAT service and LEO services in the Americas, Europe, the Middle East, Africa, Asia-Pacific, Indian, and Australian and New Zealand waters, as permitted by local regulatory authorities and licensing. We may need to maintain or expand capacity in existing coverage areas to support our subscriber base. If we are unable to reach economical agreements with third-party satellite providers to support our global satellite services and its technology or if transponder capacity is unavailable to meet demand in a given region, our ability to provide airtime services will be at risk and could reduce the attractiveness of our products and services.</w:t>
      </w:r>
    </w:p>
    <w:p>
      <w:pPr>
        <w:spacing w:after="0" w:line="217" w:lineRule="exact"/>
        <w:rPr>
          <w:sz w:val="20"/>
          <w:szCs w:val="20"/>
          <w:color w:val="auto"/>
        </w:rPr>
      </w:pPr>
    </w:p>
    <w:p>
      <w:pPr>
        <w:jc w:val="both"/>
        <w:spacing w:after="0" w:line="345" w:lineRule="auto"/>
        <w:rPr>
          <w:sz w:val="20"/>
          <w:szCs w:val="20"/>
          <w:color w:val="auto"/>
        </w:rPr>
      </w:pPr>
      <w:r>
        <w:rPr>
          <w:rFonts w:ascii="Times New Roman" w:cs="Times New Roman" w:eastAsia="Times New Roman" w:hAnsi="Times New Roman"/>
          <w:sz w:val="19"/>
          <w:szCs w:val="19"/>
          <w:b w:val="1"/>
          <w:bCs w:val="1"/>
          <w:color w:val="auto"/>
        </w:rPr>
        <w:t>Our results of operations are adversely affected by unseasonably cold weather, prolonged winter conditions, disasters or similar events.</w:t>
      </w:r>
    </w:p>
    <w:p>
      <w:pPr>
        <w:spacing w:after="0" w:line="21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Our leisure marine business is highly seasonal, and seasonality can also impact our commercial marine business, particularly in the commercial fishing market. Historically, we have generated the majority of our leisure marine product revenues during the first and second quarters of each year, and these revenues typically decline in the third and fourth quarters of each year, compared to the first two quarters. Historically, we have generated the majority of our leisure marine service revenues during the second and third quarters of each year, as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0" w:orient="portrait"/>
          <w:cols w:equalWidth="0" w:num="1">
            <w:col w:w="9920"/>
          </w:cols>
          <w:pgMar w:left="980" w:top="902" w:right="980" w:bottom="0" w:gutter="0" w:footer="0" w:header="0"/>
        </w:sectPr>
      </w:pPr>
    </w:p>
    <w:bookmarkStart w:id="18" w:name="page19"/>
    <w:bookmarkEnd w:id="18"/>
    <w:p>
      <w:pPr>
        <w:jc w:val="both"/>
        <w:spacing w:after="0" w:line="335" w:lineRule="auto"/>
        <w:rPr>
          <w:sz w:val="20"/>
          <w:szCs w:val="20"/>
          <w:color w:val="auto"/>
        </w:rPr>
      </w:pPr>
      <w:r>
        <w:rPr>
          <w:rFonts w:ascii="Times New Roman" w:cs="Times New Roman" w:eastAsia="Times New Roman" w:hAnsi="Times New Roman"/>
          <w:sz w:val="19"/>
          <w:szCs w:val="19"/>
          <w:color w:val="auto"/>
        </w:rPr>
        <w:t>disasters may decrease boating, which could reduce our revenues. Specifically, we may encounter a decrease in new airtime activations as well as an increase in the number of cancellations or temporary suspensions of our airtime service.</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We are winding down our single manufacturing facility, and any significant disruption to this facility in the near term will impair our ability to deliver our products.</w:t>
      </w:r>
    </w:p>
    <w:p>
      <w:pPr>
        <w:spacing w:after="0" w:line="17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We manufacture all of our products at our manufacturing facility in Middletown, Rhode Island, and we have begun to wind down our manufacturing operations at that facility. We currently plan to discontinue substantially all manufacturing activities by the end of 2026.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Acquisitions and strategic relationships may disrupt our operations or adversely affect our results.</w:t>
      </w:r>
    </w:p>
    <w:p>
      <w:pPr>
        <w:spacing w:after="0" w:line="31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evaluate opportunities to acquire other businesses and assets and pursue other strategic relationships as they arise. For example, in October 2025, we acquired the maritime satellite service business of a satellite services provider operating in the Asia-Pacific region for a purchase price of approximately $4.7 million.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loss or termination of acquired contracts; increased reliance on third parties;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 In the case of our October 2025 acquisition, we recorded goodwill and intangible assets related to this acquisition and unanticipated early terminations and/or non-renewals of a material portion of the acquired agreements could result in the recognition of impairment charges that would adversely affect our results of operations, perhaps materially.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our industry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Increasingly intense competition may limit our ability to sell our products and services.</w:t>
      </w:r>
    </w:p>
    <w:p>
      <w:pPr>
        <w:spacing w:after="0" w:line="31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and from both current LEO services, such as SpaceX's Starlink and Eutelsat OneWeb, and future LEO services, such as Amazon Leo (previously Kuiper), Telesat, and others. Competition from these sources increased dramatically in the last three years and continues in 2026, leading to material and ongoing reductions in our VSAT subscriber base. These companies may continue to implement price reductions and discounts for both products and services, which have required us to reduce our prices or offer discounts in an effort to mitigate erosion of our market share. Additional price reductions or discounts may cause us to record additional write-downs to the value of our inventory. The majority of our customers have no long-term commitment and can switch providers without penalty. For example, AgilePlans customers are on month-to-month agreements. In the third quarter of 2024, we received and processed the anticipated service downgrade request from the U.S. Coast Guard, which reduces anticipated revenue from this customer for 2025 through 2027 by approximately 95%. As a result, we expect to generate substantially less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0" w:orient="portrait"/>
          <w:cols w:equalWidth="0" w:num="1">
            <w:col w:w="9920"/>
          </w:cols>
          <w:pgMar w:left="980" w:top="902" w:right="980" w:bottom="0" w:gutter="0" w:footer="0" w:header="0"/>
        </w:sectPr>
      </w:pPr>
    </w:p>
    <w:bookmarkStart w:id="19" w:name="page20"/>
    <w:bookmarkEnd w:id="19"/>
    <w:p>
      <w:pPr>
        <w:jc w:val="both"/>
        <w:spacing w:after="0" w:line="335" w:lineRule="auto"/>
        <w:rPr>
          <w:sz w:val="20"/>
          <w:szCs w:val="20"/>
          <w:color w:val="auto"/>
        </w:rPr>
      </w:pPr>
      <w:r>
        <w:rPr>
          <w:rFonts w:ascii="Times New Roman" w:cs="Times New Roman" w:eastAsia="Times New Roman" w:hAnsi="Times New Roman"/>
          <w:sz w:val="19"/>
          <w:szCs w:val="19"/>
          <w:color w:val="auto"/>
        </w:rPr>
        <w:t>revenue from the U.S. Coast Guard. For example, revenue from the U.S. Coast Guard declined from approximately $2.4 million in the third quarter of 2024 to approximately $0.1 million in the fourth quarter of 2025.</w:t>
      </w:r>
    </w:p>
    <w:p>
      <w:pPr>
        <w:spacing w:after="0" w:line="18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Many competitors have greater financial resources than we do, enabling them to operate at lower margins to gain market share. We believe increased competition contributed to the decrease in our product sales in 2025, and we expect that this trend will continue in future periods.</w:t>
      </w:r>
    </w:p>
    <w:p>
      <w:pPr>
        <w:spacing w:after="0" w:line="208"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9"/>
          <w:szCs w:val="19"/>
          <w:color w:val="auto"/>
        </w:rPr>
        <w:t>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Although KVH is a Tier 1 reseller of Starlink terminals and services, we continue to face competitive challenges both from Starlink direct sales as well as from an expanding network of other Starlink resellers. A significant number of leisure customers have adopted Starlink systems for both two-way communications as well as streaming, which has impacted both our VSAT Broadband and TracVision satellite TV businesses. Although our leisure business accounts for less than 15% of our total revenue, competition from Starlink from various sources has had an adverse impact on our commercial business as well, particularly our growth in that segment and our overall VSAT subscriber base. While we did increase our subscriber count in every quarter of 2025 and the second, third and fourth quarters of 2024, spurred by an increase in subscribers for Starlink service provided by KVH, the total number of our subscribers declined in the third and fourth quarter of 2023 and the first quarter of 2024. If we are unable to sustain growth, it would have a material adverse effect on our revenue, profitability, and cash flow.</w:t>
      </w:r>
    </w:p>
    <w:p>
      <w:pPr>
        <w:spacing w:after="0" w:line="22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In the marine market for high-speed Internet, voice, and data services, we have historically competed primarily with Marlink, Navarino, Speedcast, Viasat/Inmarsat, and Network Innovations, along with smaller, single-hub regional services to deliver VSAT service. Additionally, we are facing meaningful competition from new LEO-focused providers such as SpaceX’s Starlink and Eutelsat OneWeb and an emerging group of smaller providers, such as Clarus, Pivotel, Elcome and Station Satcom. We also face competition from providers of low-speed data services, which include Viasat/Inmarsat and Iridium. In the marine market for satellite TV equipment, we compete primarily with Intellian, Cobham and Raymarine (Intellian-made). In the marine market for two-way communications equipment, we compete primarily with Intellian and Cobham. In the markets for media content, the KVH Media Group competes primarily with Swank Motion Pictures, Baze Technology, FrontM and PressReader. Some of our competitors are well-established companies that have substantially greater financial, managerial, technical, marketing, personnel, and other resources than we do, which may help them to compete more effectively against us.</w:t>
      </w:r>
    </w:p>
    <w:p>
      <w:pPr>
        <w:spacing w:after="0" w:line="222"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9"/>
          <w:szCs w:val="19"/>
          <w:b w:val="1"/>
          <w:bCs w:val="1"/>
          <w:color w:val="auto"/>
        </w:rPr>
        <w:t>We depend on sole or limited source suppliers, and any disruption in supply could impair our ability to deliver products on time or at expected cost.</w:t>
      </w:r>
    </w:p>
    <w:p>
      <w:pPr>
        <w:spacing w:after="0" w:line="17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0" w:orient="portrait"/>
          <w:cols w:equalWidth="0" w:num="1">
            <w:col w:w="9920"/>
          </w:cols>
          <w:pgMar w:left="980" w:top="902" w:right="980" w:bottom="0" w:gutter="0" w:footer="0" w:header="0"/>
        </w:sectPr>
      </w:pPr>
    </w:p>
    <w:bookmarkStart w:id="20" w:name="page21"/>
    <w:bookmarkEnd w:id="20"/>
    <w:p>
      <w:pPr>
        <w:jc w:val="both"/>
        <w:spacing w:after="0" w:line="343" w:lineRule="auto"/>
        <w:rPr>
          <w:sz w:val="20"/>
          <w:szCs w:val="20"/>
          <w:color w:val="auto"/>
        </w:rPr>
      </w:pPr>
      <w:r>
        <w:rPr>
          <w:rFonts w:ascii="Times New Roman" w:cs="Times New Roman" w:eastAsia="Times New Roman" w:hAnsi="Times New Roman"/>
          <w:sz w:val="19"/>
          <w:szCs w:val="19"/>
          <w:b w:val="1"/>
          <w:bCs w:val="1"/>
          <w:color w:val="auto"/>
        </w:rPr>
        <w:t>Changes in the competitive environment, customer demand, supply chain issues, and the transition to new products may require inventory write-downs and/or the disposal of AgilePlans revenue-generating fixed assets.</w:t>
      </w:r>
    </w:p>
    <w:p>
      <w:pPr>
        <w:spacing w:after="0" w:line="17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From time to time, we have recorded significant inventory charges and/or inventory write-offs as a result of substantial declines in customer demand. For example, in the third quarter of 2025, we recorded a $5.5 million inventory write-down charge due to further reduction in demand for certain of our hardware products as well as a reduction in the prices we charge for certain TracNet H-series terminals. In 2023, we recorded a $5.2 million inventory write-down charge and a $3.6 million charge for excess purchase order obligations, both relating to the reduced demand for our hardware products, which led to the staged wind-down of our manufacturing activities at our facility in Middletown, Rhode Island that we began in 2024. We have also recorded significant losses on the disposal of AgilePlans revenue-generating fixed assets due to the decline in customer demand of VSAT Broadband AgilePlans units. For example, in 2024 we recorded a non-cash $0.9 million loss related to the disposal of AgilePlans revenue-generating fixed assets in which no proceeds were received. Market or competitive changes, such as a continuation of the decline in demand for our hardware products that we have been experiencing for the last three years, could lead to additional charges for excess or obsolete inventory or losses on fixed assets, especially if we are unable to appropriately adjust the supply of material from our vendors, as we were unable to do in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our dependence on third parties and third-party technology</w:t>
      </w:r>
    </w:p>
    <w:p>
      <w:pPr>
        <w:spacing w:after="0" w:line="31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Our communications solutions utilize third-party satellite services and other communication networks. We do not own the satellites that provide two-way satellite communications, the terrestrial networks that interconnect our facilities with the satellite teleports that communicate with the satellites, or any other communication network. SpaceX's Starlink provides the data services for Starlink LEO services, while Eutelsat OneWeb and SES provide the data connectivity for Eutelsat OneWeb LEO services, which we began providing for maritime use in January 2025. SES and SKY Perfect 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For our TracNet Coastal products launched in December 2024, we purchase 5G/LTE cellular data from T-Mobile for service in the U.S. and Vodafone for service globally. Additionally, we purchase cellular data from Flexiroam, a Mobile Virtual Network Operator (MVNO) with connectivity in over 200 countries. We rely on Viasat/Inmarsat for satellite communications services for our FleetBroadband-compatible, FleetOne-compatible, Global Xpress-compatible and BGAN-compatible products, as well as our handheld products. We also have an arrangement with Iridium for additional satellite communications services for handheld devices, as well as services that we make available to our customers as a backup option to provide communications redundancy with our primary service offerings.</w:t>
      </w:r>
    </w:p>
    <w:p>
      <w:pPr>
        <w:spacing w:after="0" w:line="23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1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9"/>
          <w:szCs w:val="19"/>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0" w:orient="portrait"/>
          <w:cols w:equalWidth="0" w:num="1">
            <w:col w:w="9920"/>
          </w:cols>
          <w:pgMar w:left="980" w:top="899" w:right="980" w:bottom="0" w:gutter="0" w:footer="0" w:header="0"/>
        </w:sectPr>
      </w:pPr>
    </w:p>
    <w:bookmarkStart w:id="21" w:name="page22"/>
    <w:bookmarkEnd w:id="21"/>
    <w:p>
      <w:pPr>
        <w:jc w:val="both"/>
        <w:spacing w:after="0" w:line="306" w:lineRule="auto"/>
        <w:rPr>
          <w:sz w:val="20"/>
          <w:szCs w:val="20"/>
          <w:color w:val="auto"/>
        </w:rPr>
      </w:pPr>
      <w:r>
        <w:rPr>
          <w:rFonts w:ascii="Times New Roman" w:cs="Times New Roman" w:eastAsia="Times New Roman" w:hAnsi="Times New Roman"/>
          <w:sz w:val="19"/>
          <w:szCs w:val="19"/>
          <w:color w:val="auto"/>
        </w:rPr>
        <w:t>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solutions and seriously harm our financial condition and operating results.</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services or products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services or products we offer.</w:t>
      </w:r>
    </w:p>
    <w:p>
      <w:pPr>
        <w:spacing w:after="0" w:line="22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We depend on cloud-based data services operated by third parties, and any disruption in the operation of these services could harm our business.</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2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Our media and entertainment business relies on licensing arrangements with content providers, and the loss of, or changes in, those arrangements could adversely affect our business.</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auto"/>
        </w:rPr>
        <w:t>We distribute premium movies, television programming, news, and music to commercial customers in the maritime market.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0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Cybersecurity breaches could disrupt our operations, expose us to liability, damage our reputation, and require us to incur significant costs or otherwise adversely affect our financial results.</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including ours.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Some cyberattacks, such as phishing, exploit human vulnerabilities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0" w:orient="portrait"/>
          <w:cols w:equalWidth="0" w:num="1">
            <w:col w:w="9920"/>
          </w:cols>
          <w:pgMar w:left="980" w:top="902" w:right="980" w:bottom="0" w:gutter="0" w:footer="0" w:header="0"/>
        </w:sectPr>
      </w:pPr>
    </w:p>
    <w:bookmarkStart w:id="22" w:name="page23"/>
    <w:bookmarkEnd w:id="22"/>
    <w:p>
      <w:pPr>
        <w:jc w:val="both"/>
        <w:spacing w:after="0" w:line="299" w:lineRule="auto"/>
        <w:rPr>
          <w:sz w:val="20"/>
          <w:szCs w:val="20"/>
          <w:color w:val="auto"/>
        </w:rPr>
      </w:pPr>
      <w:r>
        <w:rPr>
          <w:rFonts w:ascii="Times New Roman" w:cs="Times New Roman" w:eastAsia="Times New Roman" w:hAnsi="Times New Roman"/>
          <w:sz w:val="19"/>
          <w:szCs w:val="19"/>
          <w:color w:val="auto"/>
        </w:rPr>
        <w:t>that cannot necessarily be addressed through protective technology. The protective measures on which we rely, including training of our personnel,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economic conditions and trade relations</w:t>
      </w:r>
    </w:p>
    <w:p>
      <w:pPr>
        <w:spacing w:after="0" w:line="31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Our revenues, results of operations and financial condition may be adversely impacted by economic turmoil, war, political instability, declines in consumer and enterprise spending.</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Economic and political conditions in the geographic markets we serve have experienced significant turmoil over the last several years, including significant disruptions to long-standing international relationships, government shutdowns, U.S. military strikes on seafaring vessels, the capture and imprisonment of a foreign head of state, U.S. military operations in international waters, recent and ongoing changes in U.S. geopolitical priorities, a potential global recession, slow economic activity, war and refugee crises in the Middle East and Europe, tight credit markets, inflation and deflation concerns, changing interest rates, low consumer confidence, limited capital spending, adverse business conditions, terrorist attacks, changes in government priorities, trade wars, anti-globalization movements, efforts to combat climate change, restrictions on commercial fishing, gridlock from a polarized Congress, and liquidity concerns. These factors vary in intensity by region. For example, conflict in the Middle East has resulted in periodic disruptions to global shipping, which could intensify and result in significant delays in shipments of products or supplies, materially increased shipping costs and loss of revenues. Further, recent tax reform legislation is predicted to substantially increase borrowing by the federal government, which could lead to both increased interest rates and increased inflation.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Changes in U.S. trade policy, including the ongoing threat and imposition of significant tariffs and resulting changes in international trade relations, may have a material adverse effect on us.</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The current presidential administration has introduced dramatic changes to the United States’ approach to international trade, which is disrupting existing bilateral and multi-lateral trade agreements and treaties with other countries. These disruptions appear to be intensifying. The U.S. has imposed, suspended, reinstated, reduced, increased or otherwise modified significant tariffs on a wide range of foreign goods and may continue to do so. Certain foreign governments have retaliated and may continue to do so. We derive a majority of our revenues from international sales, which makes us especially vulnerable to increased tariffs. Unpredictable and frequently shifting priorities in U.S. trade policy are generating significant turmoil in international trade relations, and it is unclear what actions governments will or will not take with respect to tariffs or other international trade agreements and policies. For example, President Trump previously imposed tariffs ranging from 10% to 145% on an array of imports from Canada, Mexico, China and other countries. Many of those tariffs remain in place, often with modifications. In response, these countries have imposed or are considering imposing retaliatory tariffs on U.S. exports and other restrictions on trade with the U.S. It is unclear what further action the presidential administration will take with respect to tariffs, but future tariff rates may be substantially higher than historical averages. Ongoing or new trade wars or other governmental action related to tariffs or international trade agreements or policies could substantially reduce demand for our services and products, increase our costs, materially reduce our profitability, adversely impact our supply chain or otherwise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880" w:h="15480" w:orient="portrait"/>
          <w:cols w:equalWidth="0" w:num="1">
            <w:col w:w="9920"/>
          </w:cols>
          <w:pgMar w:left="980" w:top="902" w:right="980"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color w:val="auto"/>
        </w:rPr>
        <w:t>Changes in foreign currency exchange rates may negatively affect our financial condition and results of operations.</w:t>
      </w:r>
    </w:p>
    <w:p>
      <w:pPr>
        <w:spacing w:after="0" w:line="31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We face significant exposure to movements in exchange rates for foreign currencies, particularly the pound sterling. When the U.S. dollar strengthens against certain foreign currencies, this adversely affects revenues reported in U.S. dollars and decreases the reported value of our assets in foreign countries. Conversely, when the U.S. dollar weakens against certain foreign currencies, this positively affects revenues reported in U.S. dollars and increases the reported value of our assets in foreign countries.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2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intellectual property and technological innovation</w:t>
      </w:r>
    </w:p>
    <w:p>
      <w:pPr>
        <w:spacing w:after="0" w:line="31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Our research and development efforts may be unsuccessful. If we are unable to improve our existing solutions and develop new, innovative solutions, our sales and market share will likely continue to decline.</w:t>
      </w:r>
    </w:p>
    <w:p>
      <w:pPr>
        <w:spacing w:after="0" w:line="1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The market for mobile connectivity solutions is characterized by rapid technological change, frequent new product innovations, changes in customer requirements and expectations, and evolving industry standards. For example, our traditional VSAT service business is facing significant competition from new LEO networks such as SpaceX's Starlink and Eutelsat OneWeb. In addition, the barrier to entry to the sale of services like Starlink is relatively low for other providers. If we fail to make innovations in our existing services and products, reduce the costs of our services and products, or successfully integrate ancillary or third-party services and products into our portfolio to differentiate our service offerings, our market share will likely continue to decline. Services or products using these or other new technologies, or emerging industry standards, could render our services and products obsolete. If our competitors’ new or enhanced services or products either outperform our services or products or offer greater value, or are perceived as doing so, our sales may continue to decline.</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9"/>
          <w:szCs w:val="19"/>
          <w:color w:val="auto"/>
        </w:rPr>
        <w:t>Research and development is inherently complex and uncertain, and our current and anticipated research and development projects may not achieve the results we seek. The financial resources that we devote to our research and development efforts have been decreasing significantly. Our efforts may not result in any viable service or product offerings or may result in service or product offerings whose performance, features, price or availability may not be attractive to customers or that we cannot sell profitably.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business may suffer if we cannot protect our proprietary technology.</w:t>
      </w:r>
    </w:p>
    <w:p>
      <w:pPr>
        <w:spacing w:after="0" w:line="30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0" w:orient="portrait"/>
          <w:cols w:equalWidth="0" w:num="1">
            <w:col w:w="9920"/>
          </w:cols>
          <w:pgMar w:left="980" w:top="899" w:right="980" w:bottom="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b w:val="1"/>
          <w:bCs w:val="1"/>
          <w:color w:val="auto"/>
        </w:rPr>
        <w:t>Claims by others that we infringe their intellectual property rights could harm our business and financial condition.</w:t>
      </w:r>
    </w:p>
    <w:p>
      <w:pPr>
        <w:spacing w:after="0" w:line="35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government regulation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international operations complicate our business and require us to comply with multiple regulatory environments.</w:t>
      </w:r>
    </w:p>
    <w:p>
      <w:pPr>
        <w:spacing w:after="0" w:line="295" w:lineRule="exact"/>
        <w:rPr>
          <w:sz w:val="20"/>
          <w:szCs w:val="20"/>
          <w:color w:val="auto"/>
        </w:rPr>
      </w:pPr>
    </w:p>
    <w:p>
      <w:pPr>
        <w:jc w:val="both"/>
        <w:ind w:firstLine="1"/>
        <w:spacing w:after="0" w:line="295" w:lineRule="auto"/>
        <w:rPr>
          <w:sz w:val="20"/>
          <w:szCs w:val="20"/>
          <w:color w:val="auto"/>
        </w:rPr>
      </w:pPr>
      <w:r>
        <w:rPr>
          <w:rFonts w:ascii="Times New Roman" w:cs="Times New Roman" w:eastAsia="Times New Roman" w:hAnsi="Times New Roman"/>
          <w:sz w:val="19"/>
          <w:szCs w:val="19"/>
          <w:color w:val="auto"/>
        </w:rPr>
        <w:t>Historically, sales to customers outside the United States have accounted for an increasingly significant portion of our net sales. We derived 78% and 73% of our revenues in 2025 and 2024, respectively, from sales to these foreign customers. We have foreign offices in Denmark, the United Kingdom, Singapore, Japan, Norway, the Philippines and Brazil. Nonetheless, substantially all of our operations and a significant number of our key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2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We could incur additional legal compliance costs associated with our international operations and could become subject to legal penalties if we do not comply with certain regulations.</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services and products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3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9"/>
          <w:szCs w:val="19"/>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satellite communications industry in the United States is regulated by the Federal Communications Commission (FCC), 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0" w:orient="portrait"/>
          <w:cols w:equalWidth="0" w:num="1">
            <w:col w:w="9920"/>
          </w:cols>
          <w:pgMar w:left="980" w:top="899" w:right="980" w:bottom="0" w:gutter="0" w:footer="0" w:header="0"/>
        </w:sectPr>
      </w:pPr>
    </w:p>
    <w:bookmarkStart w:id="25" w:name="page26"/>
    <w:bookmarkEnd w:id="25"/>
    <w:p>
      <w:pPr>
        <w:jc w:val="both"/>
        <w:spacing w:after="0" w:line="303" w:lineRule="auto"/>
        <w:rPr>
          <w:sz w:val="20"/>
          <w:szCs w:val="20"/>
          <w:color w:val="auto"/>
        </w:rPr>
      </w:pPr>
      <w:r>
        <w:rPr>
          <w:rFonts w:ascii="Times New Roman" w:cs="Times New Roman" w:eastAsia="Times New Roman" w:hAnsi="Times New Roman"/>
          <w:sz w:val="19"/>
          <w:szCs w:val="19"/>
          <w:color w:val="auto"/>
        </w:rPr>
        <w:t>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1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9"/>
          <w:szCs w:val="19"/>
          <w:b w:val="1"/>
          <w:bCs w:val="1"/>
          <w:color w:val="auto"/>
        </w:rPr>
        <w:t>Privacy concerns and domestic or foreign laws and regulations may reduce demand for our services, increase our costs and harm our business.</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2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Risks related to owning our common 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market price of our common stock may be volatile.</w:t>
      </w:r>
    </w:p>
    <w:p>
      <w:pPr>
        <w:spacing w:after="0" w:line="31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9"/>
          <w:szCs w:val="19"/>
          <w:color w:val="auto"/>
        </w:rPr>
        <w:t>Our stock price has historically been volatile. During the period from January 1, 2021 to December 31, 2025, the trading price of our common stock ranged from $4.17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1B.</w:t>
        <w:tab/>
        <w:t>Unresolved Staff Comments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2769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494.05pt,0.85pt" o:allowincell="f" strokecolor="#000000" strokeweight="0.926pt"/>
            </w:pict>
          </mc:Fallback>
        </mc:AlternateConten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None.</w:t>
      </w:r>
    </w:p>
    <w:p>
      <w:pPr>
        <w:spacing w:after="0" w:line="38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1C.</w:t>
        <w:tab/>
        <w:t>Cybersecurity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27697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9pt" to="494.05pt,0.9pt" o:allowincell="f" strokecolor="#000000" strokeweight="0.9269pt"/>
            </w:pict>
          </mc:Fallback>
        </mc:AlternateContent>
      </w:r>
    </w:p>
    <w:p>
      <w:pPr>
        <w:spacing w:after="0" w:line="253"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We have established procedures to assess, identify, and manage material risks from cybersecurity threats and have integrated those procedures into our overall risk management systems and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0" w:orient="portrait"/>
          <w:cols w:equalWidth="0" w:num="1">
            <w:col w:w="9920"/>
          </w:cols>
          <w:pgMar w:left="980" w:top="902" w:right="980" w:bottom="0" w:gutter="0" w:footer="0" w:header="0"/>
        </w:sectPr>
      </w:pPr>
    </w:p>
    <w:bookmarkStart w:id="26" w:name="page27"/>
    <w:bookmarkEnd w:id="26"/>
    <w:p>
      <w:pPr>
        <w:jc w:val="both"/>
        <w:ind w:firstLine="522"/>
        <w:spacing w:after="0" w:line="312" w:lineRule="auto"/>
        <w:rPr>
          <w:sz w:val="20"/>
          <w:szCs w:val="20"/>
          <w:color w:val="auto"/>
        </w:rPr>
      </w:pPr>
      <w:r>
        <w:rPr>
          <w:rFonts w:ascii="Times New Roman" w:cs="Times New Roman" w:eastAsia="Times New Roman" w:hAnsi="Times New Roman"/>
          <w:sz w:val="18"/>
          <w:szCs w:val="18"/>
          <w:color w:val="auto"/>
        </w:rPr>
        <w:t>We have implemented a written information security program ("WISP") to create administrative, technical and physical safeguards at KVH for the protection of confidential information of KVH and its employees and customers and other third parties. The WISP sets forth our procedures for evaluating our electronic and physical methods of collecting, storing, accessing, using, transmitting, and protecting confidential information, including personal information, as defined by federal and state law. We have utilized the National Institute of Standards and Technology’s Cybersecurity Framework (NIST CSF) as a baseline for the WISP procedures in addition to General Data Protection Regulation (GDPR) standards. In addition to our data privacy policy, the WISP policy defines how sensitive and private data is protected. Under our procedures, we review the scope of the security measures in the WISP at least annually, or whenever there is a material change in our business practices or we receive information about material new cybersecurity threats or risks, that may implicate the security or integrity of records. Once we identify material cybersecurity risks, we seek to identify and implement prevention measures. Current prevention measures include, among other things, to the extent we determine to be appropriate for our information systems in light of our financial, personnel and other resources, restricted physical access, restricted systems access, multi-factor authentication, software solutions such as intrusion detection systems, anti-virus, anti-malware, email filtering and quarantining programs, routine system maintenance and updates, backup and recovery systems, routine employee cybersecurity training and testing, and quarterly internal audits. The measures we take may be inadequate to protect us from cybersecurity risks. See “Item 1A. Risk Factors – Risks related to our dependence on third parties and third-party technology – Cybersecurity breaches could disrupt our operations, expose us to liability, damage our reputation, and require us to incur significant costs or otherwise adversely affect our financial results.”</w:t>
      </w:r>
    </w:p>
    <w:p>
      <w:pPr>
        <w:spacing w:after="0" w:line="218" w:lineRule="exact"/>
        <w:rPr>
          <w:sz w:val="20"/>
          <w:szCs w:val="20"/>
          <w:color w:val="auto"/>
        </w:rPr>
      </w:pPr>
    </w:p>
    <w:p>
      <w:pPr>
        <w:jc w:val="both"/>
        <w:ind w:firstLine="522"/>
        <w:spacing w:after="0" w:line="296" w:lineRule="auto"/>
        <w:rPr>
          <w:sz w:val="20"/>
          <w:szCs w:val="20"/>
          <w:color w:val="auto"/>
        </w:rPr>
      </w:pPr>
      <w:r>
        <w:rPr>
          <w:rFonts w:ascii="Times New Roman" w:cs="Times New Roman" w:eastAsia="Times New Roman" w:hAnsi="Times New Roman"/>
          <w:sz w:val="19"/>
          <w:szCs w:val="19"/>
          <w:color w:val="auto"/>
        </w:rPr>
        <w:t>We obtain cybersecurity threat intelligence information from law enforcement reports and our cybersecurity operations providers and communicate this information to relevant stakeholders within the organization. We employ third-party cybersecurity operations providers to monitor cybersecurity events and provide rapid responses to any critical events. In addition, we employ contractual provisions to require our third-party information service providers to implement and maintain appropriate security measures over the information we entrust to them. Because of the relatively small size of our information technology workforce, we have limited internal cybersecurity expertise and monitoring capabilities; accordingly, we seek to augment our internal capabilities by engaging larger, well-known third-party service providers with significantly greater cybersecurity capabilities than we possess. Because we rely on their greater expertise, our ability to identify and remediate weaknesses or vulnerabilities in the services they provide is limited. We have not engaged third parties to assess our cybersecurity defenses or to audit our cybersecurity program, nor have we conducted direct or indirect technical evaluations of the information systems that our third-party service providers use.</w:t>
      </w:r>
    </w:p>
    <w:p>
      <w:pPr>
        <w:spacing w:after="0" w:line="232"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Our Information Security Officer (“ISO”) is responsible for implementing, supervising and maintaining the WISP, including the implementation of prevention measures. The ISO reports directly to the Chief Executive Officer. The ISO has over 30 years of experience in the information technology field, including experience in healthcare system information technology, which included cybersecurity responsibilities, and then in project management office leadership for information technology managed services providers. The ISO is supported by our former Chief Information Security Officer, who remains with KVH in an individual contributor capacity through mid-2026 and continues to provide cybersecurity expertise to the program.</w:t>
      </w:r>
    </w:p>
    <w:p>
      <w:pPr>
        <w:spacing w:after="0" w:line="220" w:lineRule="exact"/>
        <w:rPr>
          <w:sz w:val="20"/>
          <w:szCs w:val="20"/>
          <w:color w:val="auto"/>
        </w:rPr>
      </w:pPr>
    </w:p>
    <w:p>
      <w:pPr>
        <w:jc w:val="both"/>
        <w:ind w:right="20" w:firstLine="521"/>
        <w:spacing w:after="0" w:line="314" w:lineRule="auto"/>
        <w:rPr>
          <w:sz w:val="20"/>
          <w:szCs w:val="20"/>
          <w:color w:val="auto"/>
        </w:rPr>
      </w:pPr>
      <w:r>
        <w:rPr>
          <w:rFonts w:ascii="Times New Roman" w:cs="Times New Roman" w:eastAsia="Times New Roman" w:hAnsi="Times New Roman"/>
          <w:sz w:val="19"/>
          <w:szCs w:val="19"/>
          <w:color w:val="auto"/>
        </w:rPr>
        <w:t>We have also implemented an Incident Response Plan (“IRP”), which provides a set of guidelines on the appropriate responsive actions to take in the event of a cybersecurity incident, depending on the particular facts and circumstances of the incident.</w:t>
      </w:r>
    </w:p>
    <w:p>
      <w:pPr>
        <w:spacing w:after="0" w:line="20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audit committee assists the Board of Directors in overseeing our cybersecurity program. Both the Board of Directors and the audit committee receive regular reports regarding material cybersecurity developments. The discussion of cybersecurity issues is on the agenda of each quarterly Board of Directors' meeting. In the case of a security incident, the ISO will report the incident directly to the Chief Executive Officer, Chief Financial Officer and Senior Vice President, General Counsel &amp; Compliance Officer. The breach will then be communicated to the audit committee dependent on the materiality of the incident.</w:t>
      </w:r>
    </w:p>
    <w:p>
      <w:pPr>
        <w:spacing w:after="0" w:line="219"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Aside from our general efforts to protect ourselves from global cybersecurity threats, for the period covered by this annual report, management has not identified any risks from cybersecurity threats or cybersecurity incidents that we believe have had a material effect, or that are reasonably likely to have a material effect, on our business strategy, results of operations or financial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0" w:orient="portrait"/>
          <w:cols w:equalWidth="0" w:num="1">
            <w:col w:w="9920"/>
          </w:cols>
          <w:pgMar w:left="980" w:top="902" w:right="980" w:bottom="0" w:gutter="0" w:footer="0" w:header="0"/>
        </w:sectPr>
      </w:pPr>
    </w:p>
    <w:bookmarkStart w:id="27" w:name="page28"/>
    <w:bookmarkEnd w:id="27"/>
    <w:p>
      <w:pPr>
        <w:jc w:val="both"/>
        <w:spacing w:after="0" w:line="335" w:lineRule="auto"/>
        <w:rPr>
          <w:sz w:val="20"/>
          <w:szCs w:val="20"/>
          <w:color w:val="auto"/>
        </w:rPr>
      </w:pPr>
      <w:r>
        <w:rPr>
          <w:rFonts w:ascii="Times New Roman" w:cs="Times New Roman" w:eastAsia="Times New Roman" w:hAnsi="Times New Roman"/>
          <w:sz w:val="19"/>
          <w:szCs w:val="19"/>
          <w:color w:val="auto"/>
        </w:rPr>
        <w:t>condition. However, we cannot provide any assurance that they will not be materially affected by such threats or incidents in the future.</w:t>
      </w: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27697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9pt" to="494.05pt,0.9pt" o:allowincell="f" strokecolor="#000000" strokeweight="0.926pt"/>
            </w:pict>
          </mc:Fallback>
        </mc:AlternateContent>
      </w:r>
    </w:p>
    <w:p>
      <w:pPr>
        <w:spacing w:after="0" w:line="235" w:lineRule="exact"/>
        <w:rPr>
          <w:sz w:val="20"/>
          <w:szCs w:val="20"/>
          <w:color w:val="auto"/>
        </w:rPr>
      </w:pPr>
    </w:p>
    <w:p>
      <w:pPr>
        <w:jc w:val="both"/>
        <w:ind w:firstLine="565"/>
        <w:spacing w:after="0" w:line="314" w:lineRule="auto"/>
        <w:rPr>
          <w:sz w:val="20"/>
          <w:szCs w:val="20"/>
          <w:color w:val="auto"/>
        </w:rPr>
      </w:pPr>
      <w:r>
        <w:rPr>
          <w:rFonts w:ascii="Times New Roman" w:cs="Times New Roman" w:eastAsia="Times New Roman" w:hAnsi="Times New Roman"/>
          <w:sz w:val="19"/>
          <w:szCs w:val="19"/>
          <w:color w:val="auto"/>
        </w:rPr>
        <w:t>We are currently headquartered in Middletown, Rhode Island. On July 23, 2025, we entered into a new seven-year lease agreement for approximately 32,000 square feet of office and warehouse space in Bristol, Rhode Island. We currently plan to migrate our Rhode Island operations to this leased facility in the spring of 2026.</w:t>
      </w:r>
    </w:p>
    <w:p>
      <w:pPr>
        <w:spacing w:after="0" w:line="2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provides information about our principal facilities as of December 31, 2025.</w:t>
      </w:r>
    </w:p>
    <w:p>
      <w:pPr>
        <w:sectPr>
          <w:pgSz w:w="11880" w:h="15480" w:orient="portrait"/>
          <w:cols w:equalWidth="0" w:num="1">
            <w:col w:w="9920"/>
          </w:cols>
          <w:pgMar w:left="980" w:top="902" w:right="980" w:bottom="0" w:gutter="0" w:footer="0" w:header="0"/>
        </w:sectPr>
      </w:pPr>
    </w:p>
    <w:p>
      <w:pPr>
        <w:spacing w:after="0" w:line="200" w:lineRule="exact"/>
        <w:rPr>
          <w:sz w:val="20"/>
          <w:szCs w:val="20"/>
          <w:color w:val="auto"/>
        </w:rPr>
      </w:pPr>
    </w:p>
    <w:p>
      <w:pPr>
        <w:spacing w:after="0" w:line="357"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60" w:type="dxa"/>
            <w:vAlign w:val="bottom"/>
          </w:tcPr>
          <w:p>
            <w:pPr>
              <w:spacing w:after="0"/>
              <w:rPr>
                <w:sz w:val="19"/>
                <w:szCs w:val="19"/>
                <w:color w:val="auto"/>
              </w:rPr>
            </w:pPr>
          </w:p>
        </w:tc>
        <w:tc>
          <w:tcPr>
            <w:tcW w:w="31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5"/>
                <w:szCs w:val="15"/>
                <w:b w:val="1"/>
                <w:bCs w:val="1"/>
                <w:color w:val="auto"/>
              </w:rPr>
              <w:t>Principal Uses</w:t>
            </w:r>
          </w:p>
        </w:tc>
      </w:tr>
      <w:tr>
        <w:trPr>
          <w:trHeight w:val="255"/>
        </w:trPr>
        <w:tc>
          <w:tcPr>
            <w:tcW w:w="1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Middletown,</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Office, plant</w:t>
            </w:r>
          </w:p>
        </w:tc>
        <w:tc>
          <w:tcPr>
            <w:tcW w:w="60" w:type="dxa"/>
            <w:vAlign w:val="bottom"/>
          </w:tcPr>
          <w:p>
            <w:pPr>
              <w:spacing w:after="0"/>
              <w:rPr>
                <w:sz w:val="22"/>
                <w:szCs w:val="22"/>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Corporate headquarters, research and</w:t>
            </w:r>
          </w:p>
        </w:tc>
      </w:tr>
      <w:tr>
        <w:trPr>
          <w:trHeight w:val="222"/>
        </w:trPr>
        <w:tc>
          <w:tcPr>
            <w:tcW w:w="11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Rhode Island</w:t>
            </w: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and warehouse</w:t>
            </w:r>
          </w:p>
        </w:tc>
        <w:tc>
          <w:tcPr>
            <w:tcW w:w="6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development, sales and service,</w:t>
            </w:r>
          </w:p>
        </w:tc>
      </w:tr>
      <w:tr>
        <w:trPr>
          <w:trHeight w:val="222"/>
        </w:trPr>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marketing, administration,</w:t>
            </w:r>
          </w:p>
        </w:tc>
      </w:tr>
      <w:tr>
        <w:trPr>
          <w:trHeight w:val="259"/>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and warehousing</w:t>
            </w: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w:t>
            </w: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Lease</w:t>
            </w:r>
          </w:p>
        </w:tc>
        <w:tc>
          <w:tcPr>
            <w:tcW w:w="0" w:type="dxa"/>
            <w:vAlign w:val="bottom"/>
          </w:tcPr>
          <w:p>
            <w:pPr>
              <w:spacing w:after="0"/>
              <w:rPr>
                <w:sz w:val="1"/>
                <w:szCs w:val="1"/>
                <w:color w:val="auto"/>
              </w:rPr>
            </w:pPr>
          </w:p>
        </w:tc>
      </w:tr>
      <w:tr>
        <w:trPr>
          <w:trHeight w:val="163"/>
        </w:trPr>
        <w:tc>
          <w:tcPr>
            <w:tcW w:w="1000" w:type="dxa"/>
            <w:vAlign w:val="bottom"/>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Square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Footage</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w:t>
            </w:r>
          </w:p>
        </w:tc>
        <w:tc>
          <w:tcPr>
            <w:tcW w:w="0" w:type="dxa"/>
            <w:vAlign w:val="bottom"/>
          </w:tcPr>
          <w:p>
            <w:pPr>
              <w:spacing w:after="0"/>
              <w:rPr>
                <w:sz w:val="1"/>
                <w:szCs w:val="1"/>
                <w:color w:val="auto"/>
              </w:rPr>
            </w:pPr>
          </w:p>
        </w:tc>
      </w:tr>
      <w:tr>
        <w:trPr>
          <w:trHeight w:val="254"/>
        </w:trPr>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75,300</w:t>
            </w:r>
          </w:p>
        </w:tc>
        <w:tc>
          <w:tcPr>
            <w:tcW w:w="6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8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March 31,</w:t>
            </w:r>
          </w:p>
        </w:tc>
        <w:tc>
          <w:tcPr>
            <w:tcW w:w="0" w:type="dxa"/>
            <w:vAlign w:val="bottom"/>
          </w:tcPr>
          <w:p>
            <w:pPr>
              <w:spacing w:after="0"/>
              <w:rPr>
                <w:sz w:val="1"/>
                <w:szCs w:val="1"/>
                <w:color w:val="auto"/>
              </w:rPr>
            </w:pPr>
          </w:p>
        </w:tc>
      </w:tr>
      <w:tr>
        <w:trPr>
          <w:trHeight w:val="259"/>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0" w:type="dxa"/>
            <w:vAlign w:val="bottom"/>
          </w:tcPr>
          <w:p>
            <w:pPr>
              <w:spacing w:after="0"/>
              <w:rPr>
                <w:sz w:val="1"/>
                <w:szCs w:val="1"/>
                <w:color w:val="auto"/>
              </w:rPr>
            </w:pPr>
          </w:p>
        </w:tc>
      </w:tr>
    </w:tbl>
    <w:p>
      <w:pPr>
        <w:spacing w:after="0" w:line="644" w:lineRule="exact"/>
        <w:rPr>
          <w:sz w:val="20"/>
          <w:szCs w:val="20"/>
          <w:color w:val="auto"/>
        </w:rPr>
      </w:pPr>
    </w:p>
    <w:p>
      <w:pPr>
        <w:sectPr>
          <w:pgSz w:w="11880" w:h="15480" w:orient="portrait"/>
          <w:cols w:equalWidth="0" w:num="2">
            <w:col w:w="6060" w:space="60"/>
            <w:col w:w="3800"/>
          </w:cols>
          <w:pgMar w:left="980" w:top="902" w:right="980" w:bottom="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40005</wp:posOffset>
                </wp:positionV>
                <wp:extent cx="627697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15pt" to="494.05pt,3.15pt" o:allowincell="f" strokecolor="#000000" strokeweight="0.9269pt"/>
            </w:pict>
          </mc:Fallback>
        </mc:AlternateContent>
      </w:r>
    </w:p>
    <w:p>
      <w:pPr>
        <w:spacing w:after="0" w:line="299" w:lineRule="exact"/>
        <w:rPr>
          <w:sz w:val="20"/>
          <w:szCs w:val="20"/>
          <w:color w:val="auto"/>
        </w:rPr>
      </w:pPr>
    </w:p>
    <w:p>
      <w:pPr>
        <w:jc w:val="both"/>
        <w:ind w:firstLine="521"/>
        <w:spacing w:after="0" w:line="369" w:lineRule="auto"/>
        <w:rPr>
          <w:sz w:val="20"/>
          <w:szCs w:val="20"/>
          <w:color w:val="auto"/>
        </w:rPr>
      </w:pPr>
      <w:r>
        <w:rPr>
          <w:rFonts w:ascii="Times New Roman" w:cs="Times New Roman" w:eastAsia="Times New Roman" w:hAnsi="Times New Roman"/>
          <w:sz w:val="18"/>
          <w:szCs w:val="18"/>
          <w:color w:val="auto"/>
        </w:rPr>
        <w:t>From time to time, we are involved in litigation incidental to the conduct of our business. In the ordinary course of business, we are a party to inquiries, legal proceedings and claims including, from time to time, disagreements with vendors and customers.</w:t>
      </w:r>
    </w:p>
    <w:p>
      <w:pPr>
        <w:spacing w:after="0" w:line="200" w:lineRule="exact"/>
        <w:rPr>
          <w:sz w:val="20"/>
          <w:szCs w:val="20"/>
          <w:color w:val="auto"/>
        </w:rPr>
      </w:pPr>
    </w:p>
    <w:p>
      <w:pPr>
        <w:spacing w:after="0" w:line="29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2769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494.05pt,0.85pt" o:allowincell="f" strokecolor="#000000" strokeweight="0.9269pt"/>
            </w:pict>
          </mc:Fallback>
        </mc:AlternateConten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Not applicable.</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PART II</w:t>
      </w:r>
    </w:p>
    <w:p>
      <w:pPr>
        <w:spacing w:after="0" w:line="398" w:lineRule="exact"/>
        <w:rPr>
          <w:sz w:val="20"/>
          <w:szCs w:val="20"/>
          <w:color w:val="auto"/>
        </w:rPr>
      </w:pPr>
    </w:p>
    <w:p>
      <w:pPr>
        <w:ind w:left="1120" w:right="360" w:hanging="1056"/>
        <w:spacing w:after="0" w:line="296" w:lineRule="auto"/>
        <w:tabs>
          <w:tab w:leader="none" w:pos="1100" w:val="left"/>
        </w:tabs>
        <w:rPr>
          <w:sz w:val="20"/>
          <w:szCs w:val="20"/>
          <w:color w:val="auto"/>
        </w:rPr>
      </w:pPr>
      <w:r>
        <w:rPr>
          <w:rFonts w:ascii="Times New Roman" w:cs="Times New Roman" w:eastAsia="Times New Roman" w:hAnsi="Times New Roman"/>
          <w:sz w:val="19"/>
          <w:szCs w:val="19"/>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2540</wp:posOffset>
                </wp:positionV>
                <wp:extent cx="62769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2pt" to="494.05pt,0.2pt" o:allowincell="f" strokecolor="#000000" strokeweight="0.9269pt"/>
            </w:pict>
          </mc:Fallback>
        </mc:AlternateContent>
      </w:r>
    </w:p>
    <w:p>
      <w:pPr>
        <w:spacing w:after="0" w:line="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i w:val="1"/>
          <w:iCs w:val="1"/>
          <w:color w:val="auto"/>
        </w:rPr>
        <w:t xml:space="preserve">Market Information. </w:t>
      </w:r>
      <w:r>
        <w:rPr>
          <w:rFonts w:ascii="Times New Roman" w:cs="Times New Roman" w:eastAsia="Times New Roman" w:hAnsi="Times New Roman"/>
          <w:sz w:val="19"/>
          <w:szCs w:val="19"/>
          <w:color w:val="auto"/>
        </w:rPr>
        <w:t>Our common stock trades on the Nasdaq Global Select Market under the symbol “KVHI.”</w:t>
      </w:r>
    </w:p>
    <w:p>
      <w:pPr>
        <w:spacing w:after="0" w:line="314"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i w:val="1"/>
          <w:iCs w:val="1"/>
          <w:color w:val="auto"/>
        </w:rPr>
        <w:t xml:space="preserve">Stockholders. </w:t>
      </w:r>
      <w:r>
        <w:rPr>
          <w:rFonts w:ascii="Times New Roman" w:cs="Times New Roman" w:eastAsia="Times New Roman" w:hAnsi="Times New Roman"/>
          <w:sz w:val="19"/>
          <w:szCs w:val="19"/>
          <w:color w:val="auto"/>
        </w:rPr>
        <w:t>As of March 4, 2026, we had 56 holders of record of our common stock. This number does not include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for whom shares were held by a nominee or in “street” name.</w:t>
      </w:r>
    </w:p>
    <w:p>
      <w:pPr>
        <w:spacing w:after="0" w:line="185"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i w:val="1"/>
          <w:iCs w:val="1"/>
          <w:color w:val="auto"/>
        </w:rPr>
        <w:t>Dividends</w:t>
      </w:r>
      <w:r>
        <w:rPr>
          <w:rFonts w:ascii="Times New Roman" w:cs="Times New Roman" w:eastAsia="Times New Roman" w:hAnsi="Times New Roman"/>
          <w:sz w:val="19"/>
          <w:szCs w:val="19"/>
          <w:color w:val="auto"/>
        </w:rPr>
        <w:t>. We have never declared or paid cash dividends on our capital stock, and we have no plan to pay any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dividends in the foreseeable future. We currently intend to retain any future earnings to finance our operations and future growth.</w:t>
      </w:r>
    </w:p>
    <w:p>
      <w:pPr>
        <w:spacing w:after="0" w:line="185"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i w:val="1"/>
          <w:iCs w:val="1"/>
          <w:color w:val="auto"/>
        </w:rPr>
        <w:t>Issuer Purchases of Equity Securities</w:t>
      </w:r>
      <w:r>
        <w:rPr>
          <w:rFonts w:ascii="Times New Roman" w:cs="Times New Roman" w:eastAsia="Times New Roman" w:hAnsi="Times New Roman"/>
          <w:sz w:val="19"/>
          <w:szCs w:val="19"/>
          <w:color w:val="auto"/>
        </w:rPr>
        <w:t>. On December 10, 2024, our Board of Directors announced a share repurchase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program pursuant to which we may purchase outstanding shares of our common stock for an aggregate purchase price of up to $10 million. On March 6, 2026, our Board of Directors authorized an increase in the size of the repurchase program from $10 million to $15 million.</w:t>
      </w:r>
    </w:p>
    <w:p>
      <w:pPr>
        <w:spacing w:after="0" w:line="202"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Under the program, at management’s discretion, we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or the Exchange Act, which imposes certain volume limitations, and/or under Rule 10b5-1 under that act, which would permit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0" w:orient="portrait"/>
          <w:cols w:equalWidth="0" w:num="1">
            <w:col w:w="9920"/>
          </w:cols>
          <w:pgMar w:left="980" w:top="902" w:right="980" w:bottom="0" w:gutter="0" w:footer="0" w:header="0"/>
          <w:type w:val="continuous"/>
        </w:sectPr>
      </w:pPr>
    </w:p>
    <w:bookmarkStart w:id="28" w:name="page29"/>
    <w:bookmarkEnd w:id="28"/>
    <w:p>
      <w:pPr>
        <w:jc w:val="both"/>
        <w:ind w:right="280"/>
        <w:spacing w:after="0" w:line="301" w:lineRule="auto"/>
        <w:rPr>
          <w:sz w:val="20"/>
          <w:szCs w:val="20"/>
          <w:color w:val="auto"/>
        </w:rPr>
      </w:pPr>
      <w:r>
        <w:rPr>
          <w:rFonts w:ascii="Times New Roman" w:cs="Times New Roman" w:eastAsia="Times New Roman" w:hAnsi="Times New Roman"/>
          <w:sz w:val="19"/>
          <w:szCs w:val="19"/>
          <w:color w:val="auto"/>
        </w:rPr>
        <w:t>repurchases to occur during periods when we might otherwise be precluded from making purchases under insider trading laws or KVH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 The program’s expiration date has been extended to December 2026 and may be further extended.</w:t>
      </w:r>
    </w:p>
    <w:p>
      <w:pPr>
        <w:spacing w:after="0" w:line="209" w:lineRule="exact"/>
        <w:rPr>
          <w:sz w:val="20"/>
          <w:szCs w:val="20"/>
          <w:color w:val="auto"/>
        </w:rPr>
      </w:pPr>
    </w:p>
    <w:p>
      <w:pPr>
        <w:jc w:val="both"/>
        <w:ind w:right="300" w:firstLine="521"/>
        <w:spacing w:after="0" w:line="337" w:lineRule="auto"/>
        <w:rPr>
          <w:sz w:val="20"/>
          <w:szCs w:val="20"/>
          <w:color w:val="auto"/>
        </w:rPr>
      </w:pPr>
      <w:r>
        <w:rPr>
          <w:rFonts w:ascii="Times New Roman" w:cs="Times New Roman" w:eastAsia="Times New Roman" w:hAnsi="Times New Roman"/>
          <w:sz w:val="19"/>
          <w:szCs w:val="19"/>
          <w:color w:val="auto"/>
        </w:rPr>
        <w:t>In 2025, we repurchased approximately 327,000 shares of common stock in open market transactions at a cost of approximately $1.7 million. Except as noted above, there were no other repurchase programs outstanding.</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77"/>
        </w:trPr>
        <w:tc>
          <w:tcPr>
            <w:tcW w:w="2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 Value</w:t>
            </w:r>
          </w:p>
        </w:tc>
      </w:tr>
      <w:tr>
        <w:trPr>
          <w:trHeight w:val="178"/>
        </w:trPr>
        <w:tc>
          <w:tcPr>
            <w:tcW w:w="2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 as Part of</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of Shares that May Yet Be</w:t>
            </w:r>
          </w:p>
        </w:tc>
      </w:tr>
      <w:tr>
        <w:trPr>
          <w:trHeight w:val="177"/>
        </w:trPr>
        <w:tc>
          <w:tcPr>
            <w:tcW w:w="2300" w:type="dxa"/>
            <w:vAlign w:val="bottom"/>
          </w:tcPr>
          <w:p>
            <w:pPr>
              <w:spacing w:after="0"/>
              <w:rPr>
                <w:sz w:val="15"/>
                <w:szCs w:val="15"/>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60" w:type="dxa"/>
            <w:vAlign w:val="bottom"/>
          </w:tcPr>
          <w:p>
            <w:pPr>
              <w:spacing w:after="0"/>
              <w:rPr>
                <w:sz w:val="15"/>
                <w:szCs w:val="15"/>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5"/>
                <w:szCs w:val="15"/>
                <w:b w:val="1"/>
                <w:bCs w:val="1"/>
                <w:color w:val="auto"/>
              </w:rPr>
              <w:t>Average Price Paid per</w:t>
            </w: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80" w:type="dxa"/>
            <w:vAlign w:val="bottom"/>
          </w:tcPr>
          <w:p>
            <w:pPr>
              <w:spacing w:after="0"/>
              <w:rPr>
                <w:sz w:val="15"/>
                <w:szCs w:val="15"/>
                <w:color w:val="auto"/>
              </w:rPr>
            </w:pPr>
          </w:p>
        </w:tc>
        <w:tc>
          <w:tcPr>
            <w:tcW w:w="1660" w:type="dxa"/>
            <w:vAlign w:val="bottom"/>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2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Period</w:t>
            </w:r>
            <w:r>
              <w:rPr>
                <w:rFonts w:ascii="Times New Roman" w:cs="Times New Roman" w:eastAsia="Times New Roman" w:hAnsi="Times New Roman"/>
                <w:sz w:val="19"/>
                <w:szCs w:val="19"/>
                <w:b w:val="1"/>
                <w:bCs w:val="1"/>
                <w:color w:val="auto"/>
                <w:vertAlign w:val="superscript"/>
              </w:rPr>
              <w:t>(1)</w:t>
            </w: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9"/>
                <w:szCs w:val="19"/>
                <w:b w:val="1"/>
                <w:bCs w:val="1"/>
                <w:color w:val="auto"/>
                <w:vertAlign w:val="superscript"/>
              </w:rPr>
              <w:t>(2)</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or Programs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9"/>
              </w:rPr>
              <w:t>Plans or Programs</w:t>
            </w:r>
            <w:r>
              <w:rPr>
                <w:rFonts w:ascii="Times New Roman" w:cs="Times New Roman" w:eastAsia="Times New Roman" w:hAnsi="Times New Roman"/>
                <w:sz w:val="19"/>
                <w:szCs w:val="19"/>
                <w:b w:val="1"/>
                <w:bCs w:val="1"/>
                <w:color w:val="auto"/>
                <w:w w:val="99"/>
                <w:vertAlign w:val="superscript"/>
              </w:rPr>
              <w:t>(3)</w:t>
            </w:r>
          </w:p>
        </w:tc>
      </w:tr>
      <w:tr>
        <w:trPr>
          <w:trHeight w:val="285"/>
        </w:trPr>
        <w:tc>
          <w:tcPr>
            <w:tcW w:w="230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October 1 - October 31</w:t>
            </w:r>
          </w:p>
        </w:tc>
        <w:tc>
          <w:tcPr>
            <w:tcW w:w="18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Borders>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5.30</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13,626,646</w:t>
            </w:r>
          </w:p>
        </w:tc>
      </w:tr>
      <w:tr>
        <w:trPr>
          <w:trHeight w:val="303"/>
        </w:trPr>
        <w:tc>
          <w:tcPr>
            <w:tcW w:w="2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November 1 - November 30</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37,853</w:t>
            </w:r>
          </w:p>
        </w:tc>
        <w:tc>
          <w:tcPr>
            <w:tcW w:w="1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w:t>
            </w: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37,853</w:t>
            </w:r>
          </w:p>
        </w:tc>
        <w:tc>
          <w:tcPr>
            <w:tcW w:w="1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13,403,681</w:t>
            </w:r>
          </w:p>
        </w:tc>
      </w:tr>
      <w:tr>
        <w:trPr>
          <w:trHeight w:val="325"/>
        </w:trPr>
        <w:tc>
          <w:tcPr>
            <w:tcW w:w="2300" w:type="dxa"/>
            <w:vAlign w:val="bottom"/>
            <w:tcBorders>
              <w:bottom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December 1 - December 31</w:t>
            </w:r>
          </w:p>
        </w:tc>
        <w:tc>
          <w:tcPr>
            <w:tcW w:w="18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24,378</w:t>
            </w:r>
          </w:p>
        </w:tc>
        <w:tc>
          <w:tcPr>
            <w:tcW w:w="160" w:type="dxa"/>
            <w:vAlign w:val="bottom"/>
            <w:tcBorders>
              <w:bottom w:val="single" w:sz="8" w:color="auto"/>
            </w:tcBorders>
            <w:shd w:val="clear" w:color="auto" w:fill="E6E6E6"/>
          </w:tcPr>
          <w:p>
            <w:pPr>
              <w:spacing w:after="0"/>
              <w:rPr>
                <w:sz w:val="24"/>
                <w:szCs w:val="24"/>
                <w:color w:val="auto"/>
              </w:rPr>
            </w:pPr>
          </w:p>
        </w:tc>
        <w:tc>
          <w:tcPr>
            <w:tcW w:w="1680" w:type="dxa"/>
            <w:vAlign w:val="bottom"/>
            <w:tcBorders>
              <w:bottom w:val="single" w:sz="8" w:color="auto"/>
              <w:right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5.97</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24,378</w:t>
            </w:r>
          </w:p>
        </w:tc>
        <w:tc>
          <w:tcPr>
            <w:tcW w:w="18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13,257,502</w:t>
            </w:r>
          </w:p>
        </w:tc>
      </w:tr>
      <w:tr>
        <w:trPr>
          <w:trHeight w:val="265"/>
        </w:trPr>
        <w:tc>
          <w:tcPr>
            <w:tcW w:w="2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62,497</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62,497</w:t>
            </w:r>
          </w:p>
        </w:tc>
        <w:tc>
          <w:tcPr>
            <w:tcW w:w="1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
        </w:trPr>
        <w:tc>
          <w:tcPr>
            <w:tcW w:w="2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-808355</wp:posOffset>
            </wp:positionV>
            <wp:extent cx="4986020" cy="784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extLst>
                    </a:blip>
                    <a:srcRect/>
                    <a:stretch>
                      <a:fillRect/>
                    </a:stretch>
                  </pic:blipFill>
                  <pic:spPr bwMode="auto">
                    <a:xfrm>
                      <a:off x="0" y="0"/>
                      <a:ext cx="4986020" cy="784860"/>
                    </a:xfrm>
                    <a:prstGeom prst="rect">
                      <a:avLst/>
                    </a:prstGeom>
                    <a:noFill/>
                  </pic:spPr>
                </pic:pic>
              </a:graphicData>
            </a:graphic>
          </wp:anchor>
        </w:drawing>
      </w:r>
    </w:p>
    <w:p>
      <w:pPr>
        <w:spacing w:after="0" w:line="226" w:lineRule="exact"/>
        <w:rPr>
          <w:sz w:val="20"/>
          <w:szCs w:val="20"/>
          <w:color w:val="auto"/>
        </w:rPr>
      </w:pPr>
    </w:p>
    <w:p>
      <w:pPr>
        <w:jc w:val="both"/>
        <w:ind w:left="700" w:right="300" w:hanging="343"/>
        <w:spacing w:after="0" w:line="29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paragraphs preceding the table provide information about the date the share repurchase program was announced, the dollar amount approved and the anticipated expiration date of the program. No other share repurchase program expired, was terminated or was abandoned during the period covered by the table.</w:t>
      </w:r>
    </w:p>
    <w:p>
      <w:pPr>
        <w:spacing w:after="0" w:line="1"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Does not reflect brokerage commissions.</w:t>
      </w:r>
    </w:p>
    <w:p>
      <w:pPr>
        <w:spacing w:after="0" w:line="47" w:lineRule="exact"/>
        <w:rPr>
          <w:rFonts w:ascii="Times New Roman" w:cs="Times New Roman" w:eastAsia="Times New Roman" w:hAnsi="Times New Roman"/>
          <w:sz w:val="19"/>
          <w:szCs w:val="19"/>
          <w:color w:val="auto"/>
        </w:rPr>
      </w:pPr>
    </w:p>
    <w:p>
      <w:pPr>
        <w:ind w:left="700" w:right="300" w:hanging="343"/>
        <w:spacing w:after="0" w:line="337"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Gives effect to the increase in the size of the repurchase program authorized by our Board of Directors on March 6, 2026.</w:t>
      </w: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2769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494.05pt,0.85pt" o:allowincell="f" strokecolor="#000000" strokeweight="0.9269pt"/>
            </w:pict>
          </mc:Fallback>
        </mc:AlternateContent>
      </w:r>
    </w:p>
    <w:p>
      <w:pPr>
        <w:spacing w:after="0" w:line="200" w:lineRule="exact"/>
        <w:rPr>
          <w:sz w:val="20"/>
          <w:szCs w:val="20"/>
          <w:color w:val="auto"/>
        </w:rPr>
      </w:pPr>
    </w:p>
    <w:p>
      <w:pPr>
        <w:spacing w:after="0" w:line="38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123190</wp:posOffset>
                </wp:positionV>
                <wp:extent cx="62769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7pt" to="494.05pt,9.7pt" o:allowincell="f" strokecolor="#000000" strokeweight="0.9269pt"/>
            </w:pict>
          </mc:Fallback>
        </mc:AlternateContent>
      </w:r>
    </w:p>
    <w:p>
      <w:pPr>
        <w:spacing w:after="0" w:line="200" w:lineRule="exact"/>
        <w:rPr>
          <w:sz w:val="20"/>
          <w:szCs w:val="20"/>
          <w:color w:val="auto"/>
        </w:rPr>
      </w:pPr>
    </w:p>
    <w:p>
      <w:pPr>
        <w:spacing w:after="0" w:line="233" w:lineRule="exact"/>
        <w:rPr>
          <w:sz w:val="20"/>
          <w:szCs w:val="20"/>
          <w:color w:val="auto"/>
        </w:rPr>
      </w:pPr>
    </w:p>
    <w:p>
      <w:pPr>
        <w:jc w:val="both"/>
        <w:ind w:right="280" w:firstLine="695"/>
        <w:spacing w:after="0" w:line="302" w:lineRule="auto"/>
        <w:rPr>
          <w:sz w:val="20"/>
          <w:szCs w:val="20"/>
          <w:color w:val="auto"/>
        </w:rPr>
      </w:pPr>
      <w:r>
        <w:rPr>
          <w:rFonts w:ascii="Times New Roman" w:cs="Times New Roman" w:eastAsia="Times New Roman" w:hAnsi="Times New Roman"/>
          <w:sz w:val="19"/>
          <w:szCs w:val="19"/>
          <w:i w:val="1"/>
          <w:iCs w:val="1"/>
          <w:color w:val="auto"/>
        </w:rPr>
        <w:t>The following discussion and analysis should be read in conjunction with the other financial information and consolidated financial statements and related notes appearing elsewhere in this annual report. This discussion contains forward-looking statements that involve risks and uncertainties. Our actual results could differ materially from those anticipated in the forward-looking statements as a result of a variety of factors, including those discussed under the heading “Item 1A. Risk Factors” and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29</w:t>
      </w:r>
    </w:p>
    <w:p>
      <w:pPr>
        <w:sectPr>
          <w:pgSz w:w="11880" w:h="15480" w:orient="portrait"/>
          <w:cols w:equalWidth="0" w:num="1">
            <w:col w:w="10200"/>
          </w:cols>
          <w:pgMar w:left="980" w:top="902" w:right="70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316"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We are a leading global provider of innovative and technology-driven connectivity solutions to primarily maritime commercial and leisure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219"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We generate revenues in the United States and various international locations, including primarily Singapore, Canada, South American countries, European Union countries and other European countries, and countries in Africa, the Middle East and Asia/Pacific, including India. Sales to customers outside the United States accounted for 78% and 73% of our consolidated net revenues for 2025 and 2024, respectively.</w:t>
      </w:r>
    </w:p>
    <w:p>
      <w:pPr>
        <w:spacing w:after="0" w:line="214" w:lineRule="exact"/>
        <w:rPr>
          <w:sz w:val="20"/>
          <w:szCs w:val="20"/>
          <w:color w:val="auto"/>
        </w:rPr>
      </w:pPr>
    </w:p>
    <w:p>
      <w:pPr>
        <w:jc w:val="both"/>
        <w:ind w:firstLine="522"/>
        <w:spacing w:after="0" w:line="295" w:lineRule="auto"/>
        <w:rPr>
          <w:sz w:val="20"/>
          <w:szCs w:val="20"/>
          <w:color w:val="auto"/>
        </w:rPr>
      </w:pPr>
      <w:r>
        <w:rPr>
          <w:rFonts w:ascii="Times New Roman" w:cs="Times New Roman" w:eastAsia="Times New Roman" w:hAnsi="Times New Roman"/>
          <w:sz w:val="19"/>
          <w:szCs w:val="19"/>
          <w:color w:val="auto"/>
        </w:rPr>
        <w:t>We generate a substantial majority of our revenues from sales of satellite Internet airtime services. We provide, for monthly fixed fees and per-usage fees, satellite connectivity encompassing broadband Internet, data and VoIP services, to customers via our KVH ONE hybrid network, which integrates global satellite service (including Starlink, Ku-band VSAT using the SES HTS network, Eutelsat OneWeb, Iridium, and other satellite services), KVH-provided cellular service in more than 130 countries, and shore-based Wi-Fi access. Sales of our low-earth-orbit (LEO) and global high-throughput satellite (HTS) airtime services accounted for 82% and 80% of our consolidated net sales for 2025 and 2024, respectively.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is suitable for fixed and mobile uses on land and inland waterways, including lakes and rivers. In 2025, Starlink products and services were our fastest growing products and services. We are also now earning usage fees from our offering of Eutelsat OneWeb maritime service, which we launched in January 2025. Revenue from our cellular airtime service supplements our satellite-only airtime revenue. In addition, we earn monthly usage fees from sales of third-party satellite connectivity for VoIP and supplemental services to our Inmarsat, Iridium, Starlink and Eutelsat OneWeb customers. In December 2024, we introduced our TracNet Coastal and TracNet Coastal Pro terminals, expanding our extensive multi-channel portfolio of maritime products and services with a standalone 5G/cellular and Wi-Fi system. We also generate service revenue from product repairs and extended warranty sales.</w:t>
      </w:r>
    </w:p>
    <w:p>
      <w:pPr>
        <w:spacing w:after="0" w:line="230"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Our service sales also include the distribution of entertainment, including movies, television programming, news and music, to commercial customers in the maritime market through KVH Media Group, along with supplemental value-added services. Sales of content services accounted for 4% and 3% of our consolidated net revenues for 2025 and 2024, respectively.</w:t>
      </w:r>
    </w:p>
    <w:p>
      <w:pPr>
        <w:spacing w:after="0" w:line="208"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Historically, our Ku-band VSAT communications service was the primary driver of revenue growth. However, in recent years these services have represented a declining percentage of our revenues in the face of increased demand for and competition from emerging LEO services. Our satellite-only and hybrid products enable marine customers to receive data, VoIP, and value-added services via satellite, cellular, and shore-based Wi-Fi networks onboard commercial and leisure vessels. In addition, our in-motion television terminals permit customers to receive live digital television via regional satellite services on marine vessels and on recreational vehicles, buses and automobiles. We sell our products through an extensive international network of dealers and distributors. We also sell and lease products to service providers and end users. Product sales accounted for 11% and 15% of our consolidated net sales for 2025 and 2024,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Manufacturing Wind-down; Restructuring</w:t>
      </w:r>
    </w:p>
    <w:p>
      <w:pPr>
        <w:spacing w:after="0" w:line="314"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0" w:orient="portrait"/>
          <w:cols w:equalWidth="0" w:num="1">
            <w:col w:w="9920"/>
          </w:cols>
          <w:pgMar w:left="980" w:top="899" w:right="980" w:bottom="0" w:gutter="0" w:footer="0" w:header="0"/>
        </w:sectPr>
      </w:pPr>
    </w:p>
    <w:bookmarkStart w:id="30" w:name="page31"/>
    <w:bookmarkEnd w:id="30"/>
    <w:p>
      <w:pPr>
        <w:jc w:val="both"/>
        <w:spacing w:after="0" w:line="303" w:lineRule="auto"/>
        <w:rPr>
          <w:sz w:val="20"/>
          <w:szCs w:val="20"/>
          <w:color w:val="auto"/>
        </w:rPr>
      </w:pPr>
      <w:r>
        <w:rPr>
          <w:rFonts w:ascii="Times New Roman" w:cs="Times New Roman" w:eastAsia="Times New Roman" w:hAnsi="Times New Roman"/>
          <w:sz w:val="19"/>
          <w:szCs w:val="19"/>
          <w:color w:val="auto"/>
        </w:rPr>
        <w:t>activity by the end of 2026. This wind-down has been extended because our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 until our anticipated relocation in the spring of 2026.</w:t>
      </w:r>
    </w:p>
    <w:p>
      <w:pPr>
        <w:spacing w:after="0" w:line="21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As part of this restructuring, we reduced our headcount by approximately 75 employees, or approximately 20% of our total workforce as of the time we announced the restructuring. As of June 30, 2024, all employee terminations were completed. During 2024, we incurred $3.9 million of severance charges for this and other restructurings. The $3.9 million of severance charges incurred during the year consisted of approximately $3.6 million of cash charges and approximately $0.3 million of non-cash charges arising from pre-existing contractual obligations to accelerate vesting of certain outstanding equity compensation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Starlink Distribution Agreement</w:t>
      </w:r>
    </w:p>
    <w:p>
      <w:pPr>
        <w:spacing w:after="0" w:line="313"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During the second quarter of 2024, we expanded our relationship with Starlink through a bulk data distribution agreement. Under the agreement, we prepaid $17.0 million for access to a large block of Starlink Global Priority data at favorable rates. The agreement provided us flexibility in the development and sale of custom airtime plans using Starlink’s Global Priority service. We began drawing from this prepaid pooled data in the third quarter of 2024 and this data was fully consumed by the end of 2025. In the fourth quarter of 2025, we entered into an agreement to purchase a substantially larger block of Starlink Global Priority data. We made a prepayment of $5.0 million related to this agreement in the fourth quarter of 2025, an additional $10.0 million in January 2026 and an additional $6.0 million in February 2026. We must pay the remaining balance of $24.0 million in periodic payments through the first quarter of 2027.</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Assets Held for Sale</w:t>
      </w:r>
    </w:p>
    <w:p>
      <w:pPr>
        <w:spacing w:after="0" w:line="313"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During the third quarter of 2024, we commenced our plan to sell the warehouse building and surface parking lot located at 75 Enterprise Center in Middletown, Rhode Island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in 2024, as the carrying value of 75 Enterprise Center at the time the asset for sale criteria were met exceeded the fair value less costs to sell.</w:t>
      </w:r>
    </w:p>
    <w:p>
      <w:pPr>
        <w:spacing w:after="0" w:line="225"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In December 2024, we entered into an agreement to sell 75 Enterprise Center for $8.5 million. The sale was completed in September 2025, resulting in a loss of $0.3 million, which is included in other income (expense), net in our consolidated statement of operations for 2025. The sale generated $7.8 million of net cash. In September 2025, we also entered into an agreement with the buyer to lease this property until the end of March 2026 for approximately $0.1 million.</w:t>
      </w:r>
    </w:p>
    <w:p>
      <w:pPr>
        <w:spacing w:after="0" w:line="214"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Additionally, in the third quarter of 2024, we commenced our plan to sell the property, building, improvements, and land located at 50 Enterprise Center in Middletown, Rhode Island (“50 Enterprise Center”). As of September 30, 2024, 50 Enterprise Center had a carrying value of approximately $3.6 million. We determined that all of the criteria to classify 50 Enterprise Center as held for sale had been met as of September 30, 2024. The estimated fair value of 50 Enterprise Center at that date exceeded its carrying value. In December 2024, we entered into an agreement to sell 50 Enterprise Center, subject to the buyer’s right to terminate the agreement during an inspection period. In January 2025, before the end of the inspection period, we received notice of termination from the buyer. In March 2025, we entered into an agreement with another buyer to sell 50 Enterprise Center for $5.3 million. The sale was completed in June 2025, resulting in a gain of $1.3 million, which is included in other income (expense), net in our consolidated statement of operations for 2025. The sale generated $4.9 million of net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880" w:h="15480" w:orient="portrait"/>
          <w:cols w:equalWidth="0" w:num="1">
            <w:col w:w="9920"/>
          </w:cols>
          <w:pgMar w:left="980" w:top="902" w:right="98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b w:val="1"/>
          <w:bCs w:val="1"/>
          <w:i w:val="1"/>
          <w:iCs w:val="1"/>
          <w:color w:val="auto"/>
        </w:rPr>
        <w:t>Seasonality</w:t>
      </w:r>
    </w:p>
    <w:p>
      <w:pPr>
        <w:spacing w:after="0" w:line="301"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Our marine leisure business has been highly seasonal, and seasonality can also impact our commercial marine business, particularly in the commercial fishing market. Temporary suspensions of our airtime services typically increase in the third and fourth quarters of each year as boats are placed out of service during the winter months. Historically, we have generated the majority of our marine leisure product revenues during the first and second quarters of each year, and these revenues typically decline in the third and fourth quarters of each year, compared to the first two quarters.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Excess and Obsolete Inventory</w:t>
      </w:r>
    </w:p>
    <w:p>
      <w:pPr>
        <w:spacing w:after="0" w:line="313"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During 2025, we recorded a $5.5 million inventory write-down related to further reduced demand for certain of our hardware products as well as a reduction in the prices we charge for certain TracNet H-series terminals. We implemented this price reduction at the end of the third quarter of 2025 and, as a result, reduced the value of our remaining inventory of those products to net realizable value based on lower customer pricing. If demand continues to decline, we may need to record additional inventory write-downs.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w:t>
      </w:r>
    </w:p>
    <w:p>
      <w:pPr>
        <w:spacing w:after="0" w:line="313" w:lineRule="exact"/>
        <w:rPr>
          <w:sz w:val="20"/>
          <w:szCs w:val="20"/>
          <w:color w:val="auto"/>
        </w:rPr>
      </w:pPr>
    </w:p>
    <w:p>
      <w:pPr>
        <w:jc w:val="both"/>
        <w:ind w:firstLine="522"/>
        <w:spacing w:after="0" w:line="301" w:lineRule="auto"/>
        <w:rPr>
          <w:sz w:val="20"/>
          <w:szCs w:val="20"/>
          <w:color w:val="auto"/>
        </w:rPr>
      </w:pPr>
      <w:r>
        <w:rPr>
          <w:rFonts w:ascii="Times New Roman" w:cs="Times New Roman" w:eastAsia="Times New Roman" w:hAnsi="Times New Roman"/>
          <w:sz w:val="19"/>
          <w:szCs w:val="19"/>
          <w:color w:val="auto"/>
        </w:rPr>
        <w:t>On October 8, 2025, we purchased the maritime satellite service business of a satellite services provider operating in the Asia-Pacific region. The aggregate purchase price consideration transferred from us to the seller totaled $4.7 million, which consisted of cash payments at closing totaling $3.8 million and non-cash consideration in form of the settlement of certain receivables owed to us by the seller and valued at $0.9 million. As a result of the business combination, we recognized intangible assets of $3.4 million and goodwill of $0.7 million. Please see Note 18 of our accompanying financial statements for additional details surrounding the business combination.</w:t>
      </w:r>
    </w:p>
    <w:p>
      <w:pPr>
        <w:spacing w:after="0" w:line="219"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We plan to continue to explore additional opportunities to increase our revenue through strategic customer acquisition transactions. These transactions may take the form of purchases of individual customer contracts, purchases of multiple customer contracts, larger asset acquisitions, or other business combination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0" w:orient="portrait"/>
          <w:cols w:equalWidth="0" w:num="1">
            <w:col w:w="9920"/>
          </w:cols>
          <w:pgMar w:left="980" w:top="903" w:right="980"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provides, for the periods indicated, certain financial data expressed as a percentage of net sales: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56"/>
        </w:trPr>
        <w:tc>
          <w:tcPr>
            <w:tcW w:w="692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4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14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70"/>
        </w:trPr>
        <w:tc>
          <w:tcPr>
            <w:tcW w:w="694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Sales:</w:t>
            </w:r>
          </w:p>
        </w:tc>
        <w:tc>
          <w:tcPr>
            <w:tcW w:w="146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6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69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Service</w:t>
            </w: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88.6 %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84.7 %</w:t>
            </w:r>
          </w:p>
        </w:tc>
        <w:tc>
          <w:tcPr>
            <w:tcW w:w="0" w:type="dxa"/>
            <w:vAlign w:val="bottom"/>
          </w:tcPr>
          <w:p>
            <w:pPr>
              <w:spacing w:after="0"/>
              <w:rPr>
                <w:sz w:val="1"/>
                <w:szCs w:val="1"/>
                <w:color w:val="auto"/>
              </w:rPr>
            </w:pPr>
          </w:p>
        </w:tc>
      </w:tr>
      <w:tr>
        <w:trPr>
          <w:trHeight w:val="290"/>
        </w:trPr>
        <w:tc>
          <w:tcPr>
            <w:tcW w:w="694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Product</w:t>
            </w:r>
          </w:p>
        </w:tc>
        <w:tc>
          <w:tcPr>
            <w:tcW w:w="1460" w:type="dxa"/>
            <w:vAlign w:val="bottom"/>
            <w:tcBorders>
              <w:bottom w:val="single" w:sz="8" w:color="auto"/>
            </w:tcBorders>
            <w:shd w:val="clear" w:color="auto" w:fill="E6E6E6"/>
          </w:tcPr>
          <w:p>
            <w:pPr>
              <w:jc w:val="right"/>
              <w:ind w:right="163"/>
              <w:spacing w:after="0"/>
              <w:rPr>
                <w:sz w:val="20"/>
                <w:szCs w:val="20"/>
                <w:color w:val="auto"/>
              </w:rPr>
            </w:pPr>
            <w:r>
              <w:rPr>
                <w:rFonts w:ascii="Times New Roman" w:cs="Times New Roman" w:eastAsia="Times New Roman" w:hAnsi="Times New Roman"/>
                <w:sz w:val="19"/>
                <w:szCs w:val="19"/>
                <w:color w:val="auto"/>
              </w:rPr>
              <w:t>11.4</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60" w:type="dxa"/>
            <w:vAlign w:val="bottom"/>
            <w:tcBorders>
              <w:bottom w:val="single" w:sz="8" w:color="auto"/>
            </w:tcBorders>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rPr>
                <w:sz w:val="1"/>
                <w:szCs w:val="1"/>
                <w:color w:val="auto"/>
              </w:rPr>
            </w:pPr>
          </w:p>
        </w:tc>
      </w:tr>
      <w:tr>
        <w:trPr>
          <w:trHeight w:val="269"/>
        </w:trPr>
        <w:tc>
          <w:tcPr>
            <w:tcW w:w="6940" w:type="dxa"/>
            <w:vAlign w:val="bottom"/>
            <w:gridSpan w:val="2"/>
          </w:tcPr>
          <w:p>
            <w:pPr>
              <w:ind w:left="760"/>
              <w:spacing w:after="0"/>
              <w:rPr>
                <w:sz w:val="20"/>
                <w:szCs w:val="20"/>
                <w:color w:val="auto"/>
              </w:rPr>
            </w:pPr>
            <w:r>
              <w:rPr>
                <w:rFonts w:ascii="Times New Roman" w:cs="Times New Roman" w:eastAsia="Times New Roman" w:hAnsi="Times New Roman"/>
                <w:sz w:val="19"/>
                <w:szCs w:val="19"/>
                <w:color w:val="auto"/>
              </w:rPr>
              <w:t>Net sales</w:t>
            </w: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100.0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89"/>
        </w:trPr>
        <w:tc>
          <w:tcPr>
            <w:tcW w:w="694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Costs and expenses:</w:t>
            </w:r>
          </w:p>
        </w:tc>
        <w:tc>
          <w:tcPr>
            <w:tcW w:w="146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Costs of service sales</w:t>
            </w: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57.4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52.7</w:t>
            </w:r>
          </w:p>
        </w:tc>
        <w:tc>
          <w:tcPr>
            <w:tcW w:w="0" w:type="dxa"/>
            <w:vAlign w:val="bottom"/>
          </w:tcPr>
          <w:p>
            <w:pPr>
              <w:spacing w:after="0"/>
              <w:rPr>
                <w:sz w:val="1"/>
                <w:szCs w:val="1"/>
                <w:color w:val="auto"/>
              </w:rPr>
            </w:pPr>
          </w:p>
        </w:tc>
      </w:tr>
      <w:tr>
        <w:trPr>
          <w:trHeight w:val="289"/>
        </w:trPr>
        <w:tc>
          <w:tcPr>
            <w:tcW w:w="694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Costs of product sales</w:t>
            </w: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17.4</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16.3</w:t>
            </w:r>
          </w:p>
        </w:tc>
        <w:tc>
          <w:tcPr>
            <w:tcW w:w="0" w:type="dxa"/>
            <w:vAlign w:val="bottom"/>
          </w:tcPr>
          <w:p>
            <w:pPr>
              <w:spacing w:after="0"/>
              <w:rPr>
                <w:sz w:val="1"/>
                <w:szCs w:val="1"/>
                <w:color w:val="auto"/>
              </w:rPr>
            </w:pPr>
          </w:p>
        </w:tc>
      </w:tr>
      <w:tr>
        <w:trPr>
          <w:trHeight w:val="290"/>
        </w:trPr>
        <w:tc>
          <w:tcPr>
            <w:tcW w:w="69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89"/>
        </w:trPr>
        <w:tc>
          <w:tcPr>
            <w:tcW w:w="694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Sales, marketing and support</w:t>
            </w: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18.4</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18.5</w:t>
            </w:r>
          </w:p>
        </w:tc>
        <w:tc>
          <w:tcPr>
            <w:tcW w:w="0" w:type="dxa"/>
            <w:vAlign w:val="bottom"/>
          </w:tcPr>
          <w:p>
            <w:pPr>
              <w:spacing w:after="0"/>
              <w:rPr>
                <w:sz w:val="1"/>
                <w:szCs w:val="1"/>
                <w:color w:val="auto"/>
              </w:rPr>
            </w:pPr>
          </w:p>
        </w:tc>
      </w:tr>
      <w:tr>
        <w:trPr>
          <w:trHeight w:val="290"/>
        </w:trPr>
        <w:tc>
          <w:tcPr>
            <w:tcW w:w="69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14.5</w:t>
            </w:r>
          </w:p>
        </w:tc>
        <w:tc>
          <w:tcPr>
            <w:tcW w:w="0" w:type="dxa"/>
            <w:vAlign w:val="bottom"/>
          </w:tcPr>
          <w:p>
            <w:pPr>
              <w:spacing w:after="0"/>
              <w:rPr>
                <w:sz w:val="1"/>
                <w:szCs w:val="1"/>
                <w:color w:val="auto"/>
              </w:rPr>
            </w:pPr>
          </w:p>
        </w:tc>
      </w:tr>
      <w:tr>
        <w:trPr>
          <w:trHeight w:val="290"/>
        </w:trPr>
        <w:tc>
          <w:tcPr>
            <w:tcW w:w="694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Long-lived assets impairment charge</w:t>
            </w:r>
          </w:p>
        </w:tc>
        <w:tc>
          <w:tcPr>
            <w:tcW w:w="1520" w:type="dxa"/>
            <w:vAlign w:val="bottom"/>
            <w:gridSpan w:val="3"/>
            <w:shd w:val="clear" w:color="auto" w:fill="E6E6E6"/>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9"/>
                <w:szCs w:val="19"/>
                <w:color w:val="auto"/>
              </w:rPr>
              <w:t>Total costs and expenses</w:t>
            </w:r>
          </w:p>
        </w:tc>
        <w:tc>
          <w:tcPr>
            <w:tcW w:w="146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9"/>
                <w:szCs w:val="19"/>
                <w:color w:val="auto"/>
              </w:rPr>
              <w:t>110.1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tcBorders>
            <w:vMerge w:val="restart"/>
          </w:tcPr>
          <w:p>
            <w:pPr>
              <w:jc w:val="right"/>
              <w:ind w:right="163"/>
              <w:spacing w:after="0"/>
              <w:rPr>
                <w:sz w:val="20"/>
                <w:szCs w:val="20"/>
                <w:color w:val="auto"/>
              </w:rPr>
            </w:pPr>
            <w:r>
              <w:rPr>
                <w:rFonts w:ascii="Times New Roman" w:cs="Times New Roman" w:eastAsia="Times New Roman" w:hAnsi="Times New Roman"/>
                <w:sz w:val="19"/>
                <w:szCs w:val="19"/>
                <w:color w:val="auto"/>
              </w:rPr>
              <w:t>110.4</w:t>
            </w:r>
          </w:p>
        </w:tc>
        <w:tc>
          <w:tcPr>
            <w:tcW w:w="0" w:type="dxa"/>
            <w:vAlign w:val="bottom"/>
          </w:tcPr>
          <w:p>
            <w:pPr>
              <w:spacing w:after="0" w:line="20" w:lineRule="exact"/>
              <w:rPr>
                <w:sz w:val="1"/>
                <w:szCs w:val="1"/>
                <w:color w:val="auto"/>
              </w:rPr>
            </w:pPr>
          </w:p>
        </w:tc>
      </w:tr>
      <w:tr>
        <w:trPr>
          <w:trHeight w:val="269"/>
        </w:trPr>
        <w:tc>
          <w:tcPr>
            <w:tcW w:w="6940" w:type="dxa"/>
            <w:vAlign w:val="bottom"/>
            <w:tcBorders>
              <w:bottom w:val="single" w:sz="8" w:color="E6E6E6"/>
            </w:tcBorders>
            <w:gridSpan w:val="2"/>
            <w:vMerge w:val="continue"/>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4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Loss from operations</w:t>
            </w:r>
          </w:p>
        </w:tc>
        <w:tc>
          <w:tcPr>
            <w:tcW w:w="1460" w:type="dxa"/>
            <w:vAlign w:val="bottom"/>
            <w:tcBorders>
              <w:top w:val="single" w:sz="8" w:color="E6E6E6"/>
            </w:tcBorders>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(10.1)</w:t>
            </w: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1460" w:type="dxa"/>
            <w:vAlign w:val="bottom"/>
            <w:tcBorders>
              <w:top w:val="single" w:sz="8" w:color="E6E6E6"/>
            </w:tcBorders>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90"/>
        </w:trPr>
        <w:tc>
          <w:tcPr>
            <w:tcW w:w="694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Interest income</w:t>
            </w: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2.7</w:t>
            </w:r>
          </w:p>
        </w:tc>
        <w:tc>
          <w:tcPr>
            <w:tcW w:w="0" w:type="dxa"/>
            <w:vAlign w:val="bottom"/>
          </w:tcPr>
          <w:p>
            <w:pPr>
              <w:spacing w:after="0"/>
              <w:rPr>
                <w:sz w:val="1"/>
                <w:szCs w:val="1"/>
                <w:color w:val="auto"/>
              </w:rPr>
            </w:pPr>
          </w:p>
        </w:tc>
      </w:tr>
      <w:tr>
        <w:trPr>
          <w:trHeight w:val="290"/>
        </w:trPr>
        <w:tc>
          <w:tcPr>
            <w:tcW w:w="694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Interest expense</w:t>
            </w:r>
          </w:p>
        </w:tc>
        <w:tc>
          <w:tcPr>
            <w:tcW w:w="1520" w:type="dxa"/>
            <w:vAlign w:val="bottom"/>
            <w:gridSpan w:val="3"/>
            <w:shd w:val="clear" w:color="auto" w:fill="E6E6E6"/>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14"/>
        </w:trPr>
        <w:tc>
          <w:tcPr>
            <w:tcW w:w="694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Other income (expense), net</w:t>
            </w:r>
          </w:p>
        </w:tc>
        <w:tc>
          <w:tcPr>
            <w:tcW w:w="14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1.0</w:t>
            </w: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250"/>
        </w:trPr>
        <w:tc>
          <w:tcPr>
            <w:tcW w:w="694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Loss before income tax (benefit) expense</w:t>
            </w:r>
          </w:p>
        </w:tc>
        <w:tc>
          <w:tcPr>
            <w:tcW w:w="1460" w:type="dxa"/>
            <w:vAlign w:val="bottom"/>
            <w:tcBorders>
              <w:top w:val="single" w:sz="8" w:color="E6E6E6"/>
            </w:tcBorders>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(6.8)</w:t>
            </w: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1460" w:type="dxa"/>
            <w:vAlign w:val="bottom"/>
            <w:tcBorders>
              <w:top w:val="single" w:sz="8" w:color="E6E6E6"/>
            </w:tcBorders>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(9.3)</w:t>
            </w:r>
          </w:p>
        </w:tc>
        <w:tc>
          <w:tcPr>
            <w:tcW w:w="0" w:type="dxa"/>
            <w:vAlign w:val="bottom"/>
          </w:tcPr>
          <w:p>
            <w:pPr>
              <w:spacing w:after="0"/>
              <w:rPr>
                <w:sz w:val="1"/>
                <w:szCs w:val="1"/>
                <w:color w:val="auto"/>
              </w:rPr>
            </w:pPr>
          </w:p>
        </w:tc>
      </w:tr>
      <w:tr>
        <w:trPr>
          <w:trHeight w:val="315"/>
        </w:trPr>
        <w:tc>
          <w:tcPr>
            <w:tcW w:w="694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19"/>
                <w:szCs w:val="19"/>
                <w:color w:val="auto"/>
              </w:rPr>
              <w:t>Income tax (benefit) expense</w:t>
            </w:r>
          </w:p>
        </w:tc>
        <w:tc>
          <w:tcPr>
            <w:tcW w:w="14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(0.1)</w:t>
            </w: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color w:val="auto"/>
              </w:rPr>
              <w:t>0.4</w:t>
            </w:r>
          </w:p>
        </w:tc>
        <w:tc>
          <w:tcPr>
            <w:tcW w:w="0" w:type="dxa"/>
            <w:vAlign w:val="bottom"/>
          </w:tcPr>
          <w:p>
            <w:pPr>
              <w:spacing w:after="0"/>
              <w:rPr>
                <w:sz w:val="1"/>
                <w:szCs w:val="1"/>
                <w:color w:val="auto"/>
              </w:rPr>
            </w:pPr>
          </w:p>
        </w:tc>
      </w:tr>
      <w:tr>
        <w:trPr>
          <w:trHeight w:val="251"/>
        </w:trPr>
        <w:tc>
          <w:tcPr>
            <w:tcW w:w="694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Net loss</w:t>
            </w:r>
          </w:p>
        </w:tc>
        <w:tc>
          <w:tcPr>
            <w:tcW w:w="14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14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-1501140</wp:posOffset>
                </wp:positionV>
                <wp:extent cx="440309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03090"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18.1999pt" to="347.15pt,-118.1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4408805</wp:posOffset>
                </wp:positionH>
                <wp:positionV relativeFrom="paragraph">
                  <wp:posOffset>-1494790</wp:posOffset>
                </wp:positionV>
                <wp:extent cx="91948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948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15pt,-117.6999pt" to="419.55pt,-117.6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5373370</wp:posOffset>
                </wp:positionH>
                <wp:positionV relativeFrom="paragraph">
                  <wp:posOffset>-1494790</wp:posOffset>
                </wp:positionV>
                <wp:extent cx="91948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948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1pt,-117.6999pt" to="495.5pt,-117.6999pt" o:allowincell="f" strokecolor="#FFFFFF" strokeweight="0.058pt"/>
            </w:pict>
          </mc:Fallback>
        </mc:AlternateConten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Years ended December 31, 2025 and 2024</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Our net sales for 2025 and 2024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jc w:val="center"/>
              <w:ind w:left="37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60" w:type="dxa"/>
            <w:vAlign w:val="bottom"/>
          </w:tcPr>
          <w:p>
            <w:pPr>
              <w:spacing w:after="0"/>
              <w:rPr>
                <w:sz w:val="18"/>
                <w:szCs w:val="18"/>
                <w:color w:val="auto"/>
              </w:rPr>
            </w:pPr>
          </w:p>
        </w:tc>
      </w:tr>
      <w:tr>
        <w:trPr>
          <w:trHeight w:val="282"/>
        </w:trPr>
        <w:tc>
          <w:tcPr>
            <w:tcW w:w="4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right="248"/>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373"/>
              <w:spacing w:after="0"/>
              <w:rPr>
                <w:sz w:val="20"/>
                <w:szCs w:val="20"/>
                <w:color w:val="auto"/>
              </w:rPr>
            </w:pPr>
            <w:r>
              <w:rPr>
                <w:rFonts w:ascii="Times New Roman" w:cs="Times New Roman" w:eastAsia="Times New Roman" w:hAnsi="Times New Roman"/>
                <w:sz w:val="15"/>
                <w:szCs w:val="15"/>
                <w:b w:val="1"/>
                <w:bCs w:val="1"/>
                <w:color w:val="auto"/>
              </w:rPr>
              <w:t>2025 vs. 2024</w:t>
            </w:r>
          </w:p>
        </w:tc>
        <w:tc>
          <w:tcPr>
            <w:tcW w:w="860" w:type="dxa"/>
            <w:vAlign w:val="bottom"/>
            <w:tcBorders>
              <w:bottom w:val="single" w:sz="8" w:color="auto"/>
            </w:tcBorders>
          </w:tcPr>
          <w:p>
            <w:pPr>
              <w:spacing w:after="0"/>
              <w:rPr>
                <w:sz w:val="24"/>
                <w:szCs w:val="24"/>
                <w:color w:val="auto"/>
              </w:rPr>
            </w:pPr>
          </w:p>
        </w:tc>
      </w:tr>
      <w:tr>
        <w:trPr>
          <w:trHeight w:val="256"/>
        </w:trPr>
        <w:tc>
          <w:tcPr>
            <w:tcW w:w="4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51"/>
        </w:trPr>
        <w:tc>
          <w:tcPr>
            <w:tcW w:w="4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gridSpan w:val="3"/>
          </w:tcPr>
          <w:p>
            <w:pPr>
              <w:jc w:val="center"/>
              <w:ind w:left="45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309"/>
        </w:trPr>
        <w:tc>
          <w:tcPr>
            <w:tcW w:w="430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Service sales</w:t>
            </w:r>
          </w:p>
        </w:tc>
        <w:tc>
          <w:tcPr>
            <w:tcW w:w="340" w:type="dxa"/>
            <w:vAlign w:val="bottom"/>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98,407</w:t>
            </w:r>
          </w:p>
        </w:tc>
        <w:tc>
          <w:tcPr>
            <w:tcW w:w="60" w:type="dxa"/>
            <w:vAlign w:val="bottom"/>
            <w:shd w:val="clear" w:color="auto" w:fill="E6E6E6"/>
          </w:tcPr>
          <w:p>
            <w:pPr>
              <w:spacing w:after="0"/>
              <w:rPr>
                <w:sz w:val="24"/>
                <w:szCs w:val="24"/>
                <w:color w:val="auto"/>
              </w:rPr>
            </w:pPr>
          </w:p>
        </w:tc>
        <w:tc>
          <w:tcPr>
            <w:tcW w:w="480" w:type="dxa"/>
            <w:vAlign w:val="bottom"/>
            <w:shd w:val="clear" w:color="auto" w:fill="E6E6E6"/>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96,446</w:t>
            </w:r>
          </w:p>
        </w:tc>
        <w:tc>
          <w:tcPr>
            <w:tcW w:w="60" w:type="dxa"/>
            <w:vAlign w:val="bottom"/>
            <w:shd w:val="clear" w:color="auto" w:fill="E6E6E6"/>
          </w:tcPr>
          <w:p>
            <w:pPr>
              <w:spacing w:after="0"/>
              <w:rPr>
                <w:sz w:val="24"/>
                <w:szCs w:val="24"/>
                <w:color w:val="auto"/>
              </w:rPr>
            </w:pPr>
          </w:p>
        </w:tc>
        <w:tc>
          <w:tcPr>
            <w:tcW w:w="40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1,961</w:t>
            </w:r>
          </w:p>
        </w:tc>
        <w:tc>
          <w:tcPr>
            <w:tcW w:w="6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2 %</w:t>
            </w:r>
          </w:p>
        </w:tc>
      </w:tr>
      <w:tr>
        <w:trPr>
          <w:trHeight w:val="303"/>
        </w:trPr>
        <w:tc>
          <w:tcPr>
            <w:tcW w:w="430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9"/>
                <w:szCs w:val="19"/>
                <w:color w:val="auto"/>
              </w:rPr>
              <w:t>Product sales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12,602</w:t>
            </w:r>
          </w:p>
        </w:tc>
        <w:tc>
          <w:tcPr>
            <w:tcW w:w="60" w:type="dxa"/>
            <w:vAlign w:val="bottom"/>
            <w:tcBorders>
              <w:bottom w:val="single" w:sz="8" w:color="E6E6E6"/>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17,382</w:t>
            </w:r>
          </w:p>
        </w:tc>
        <w:tc>
          <w:tcPr>
            <w:tcW w:w="6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(4,780)</w:t>
            </w:r>
          </w:p>
        </w:tc>
        <w:tc>
          <w:tcPr>
            <w:tcW w:w="6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6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286"/>
        </w:trPr>
        <w:tc>
          <w:tcPr>
            <w:tcW w:w="43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Net sales</w:t>
            </w:r>
          </w:p>
        </w:tc>
        <w:tc>
          <w:tcPr>
            <w:tcW w:w="3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13"/>
              <w:spacing w:after="0"/>
              <w:rPr>
                <w:sz w:val="20"/>
                <w:szCs w:val="20"/>
                <w:color w:val="auto"/>
              </w:rPr>
            </w:pPr>
            <w:r>
              <w:rPr>
                <w:rFonts w:ascii="Times New Roman" w:cs="Times New Roman" w:eastAsia="Times New Roman" w:hAnsi="Times New Roman"/>
                <w:sz w:val="19"/>
                <w:szCs w:val="19"/>
                <w:color w:val="auto"/>
              </w:rPr>
              <w:t>111,009</w:t>
            </w:r>
          </w:p>
        </w:tc>
        <w:tc>
          <w:tcPr>
            <w:tcW w:w="60" w:type="dxa"/>
            <w:vAlign w:val="bottom"/>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ind w:right="8"/>
              <w:spacing w:after="0"/>
              <w:rPr>
                <w:sz w:val="20"/>
                <w:szCs w:val="20"/>
                <w:color w:val="auto"/>
              </w:rPr>
            </w:pPr>
            <w:r>
              <w:rPr>
                <w:rFonts w:ascii="Times New Roman" w:cs="Times New Roman" w:eastAsia="Times New Roman" w:hAnsi="Times New Roman"/>
                <w:sz w:val="19"/>
                <w:szCs w:val="19"/>
                <w:color w:val="auto"/>
              </w:rPr>
              <w:t>113,828</w:t>
            </w:r>
          </w:p>
        </w:tc>
        <w:tc>
          <w:tcPr>
            <w:tcW w:w="60" w:type="dxa"/>
            <w:vAlign w:val="bottom"/>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(2,819)</w:t>
            </w:r>
          </w:p>
        </w:tc>
        <w:tc>
          <w:tcPr>
            <w:tcW w:w="6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Net sales decreased by $2.8 million, or 2%, in 2025 as compared to 2024. Service sales increased by $2.0 million, or 2%, to $98.4 million in 2025 from $96.4 million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0" w:orient="portrait"/>
          <w:cols w:equalWidth="0" w:num="1">
            <w:col w:w="9920"/>
          </w:cols>
          <w:pgMar w:left="980" w:top="1130" w:right="980" w:bottom="0" w:gutter="0" w:footer="0" w:header="0"/>
        </w:sectPr>
      </w:pPr>
    </w:p>
    <w:bookmarkStart w:id="33" w:name="page34"/>
    <w:bookmarkEnd w:id="33"/>
    <w:p>
      <w:pPr>
        <w:jc w:val="both"/>
        <w:ind w:firstLine="522"/>
        <w:spacing w:after="0" w:line="314" w:lineRule="auto"/>
        <w:rPr>
          <w:sz w:val="20"/>
          <w:szCs w:val="20"/>
          <w:color w:val="auto"/>
        </w:rPr>
      </w:pPr>
      <w:r>
        <w:rPr>
          <w:rFonts w:ascii="Times New Roman" w:cs="Times New Roman" w:eastAsia="Times New Roman" w:hAnsi="Times New Roman"/>
          <w:sz w:val="18"/>
          <w:szCs w:val="18"/>
          <w:color w:val="auto"/>
        </w:rPr>
        <w:t>The increase in service sales was primarily due to a $0.9 million increase in CommBox Edge service sales, a $0.6 million increase in our content services sales, and a $0.5 million increase in our airtime service sales. The increase in our airtime services sales reflected a substantial increase in LEO service sales driven by an increase in subscribers for both Starlink and Eutelsat OneWeb. This increase in LEO service sales was largely offset by a substantial decrease in VSAT service sales, which was driven primarily by a decrease in VSAT subscribers, as well as a $7.7 million reduction in sales related to the U.S. Coast Guard contract downgrade in the third quarter of 2024. For 2025, LEO services sales represented over 30% of airtime services sales, as compared to less than 15% for 2024. The increase in LEO service sales as a percentage of total airtime sales resulted from both the substantial increase in LEO service sales and the substantial decrease in VSAT service sales. LEO service providers have continued to expand their product and service offerings, further heightening competition in the global commercial markets and in the leisure segment. We expect that the trend of intensifying competition from LEO satellite service providers will continue and that our revenues from VSAT service sales will continue to decline on a year-over-year basis. It is possible that the rate of reduction will accelerate.</w:t>
      </w:r>
    </w:p>
    <w:p>
      <w:pPr>
        <w:spacing w:after="0" w:line="21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Product sales decreased by $4.8 million, or 27%, to $12.6 million in 2025 from $17.4 million in 2024. The decrease in product sales was primarily due to a $2.2 million decrease in Starlink product sales, a $1.6 million decrease in TracVision product sales, a $1.1 million decrease in VSAT Broadband product sales and a $0.8 million decrease in accessory and service parts product sales, partially offset by a $1.0 million increase in Eutelsat OneWeb product sales. The decline in Starlink product sales was primarily driven by discounted pricing, whereas declines in other product sales was primarily driven by product mix and discounted pricing on VSAT Broadband products. Competition from low-cost alternatives to VSAT, which include streaming capabilities, has had a significant impact on sales of our TracVision products.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Costs of Sales</w:t>
      </w:r>
    </w:p>
    <w:p>
      <w:pPr>
        <w:spacing w:after="0" w:line="313" w:lineRule="exact"/>
        <w:rPr>
          <w:sz w:val="20"/>
          <w:szCs w:val="20"/>
          <w:color w:val="auto"/>
        </w:rPr>
      </w:pPr>
    </w:p>
    <w:p>
      <w:pPr>
        <w:jc w:val="both"/>
        <w:ind w:firstLine="522"/>
        <w:spacing w:after="0" w:line="307" w:lineRule="auto"/>
        <w:rPr>
          <w:sz w:val="20"/>
          <w:szCs w:val="20"/>
          <w:color w:val="auto"/>
        </w:rPr>
      </w:pPr>
      <w:r>
        <w:rPr>
          <w:rFonts w:ascii="Times New Roman" w:cs="Times New Roman" w:eastAsia="Times New Roman" w:hAnsi="Times New Roman"/>
          <w:sz w:val="19"/>
          <w:szCs w:val="19"/>
          <w:color w:val="auto"/>
        </w:rPr>
        <w:t>Costs of sales consists of costs of service sales and costs of product sales. Costs of sales increased by $4.4 million, or 6%, in 2025 to $83.0 million from $78.6 million in 2024. The increase in costs of sales was driven by a $3.7 million increase in costs of service sales and a $0.7 million increase in costs of product sales. As a percentage of net sales, costs of sales were 75% and 69% for 2025 and 2024, respectively.</w:t>
      </w:r>
    </w:p>
    <w:p>
      <w:pPr>
        <w:spacing w:after="0" w:line="214" w:lineRule="exact"/>
        <w:rPr>
          <w:sz w:val="20"/>
          <w:szCs w:val="20"/>
          <w:color w:val="auto"/>
        </w:rPr>
      </w:pPr>
    </w:p>
    <w:p>
      <w:pPr>
        <w:jc w:val="both"/>
        <w:ind w:firstLine="521"/>
        <w:spacing w:after="0" w:line="295" w:lineRule="auto"/>
        <w:rPr>
          <w:sz w:val="20"/>
          <w:szCs w:val="20"/>
          <w:color w:val="auto"/>
        </w:rPr>
      </w:pPr>
      <w:r>
        <w:rPr>
          <w:rFonts w:ascii="Times New Roman" w:cs="Times New Roman" w:eastAsia="Times New Roman" w:hAnsi="Times New Roman"/>
          <w:sz w:val="19"/>
          <w:szCs w:val="19"/>
          <w:color w:val="auto"/>
        </w:rPr>
        <w:t>Our costs of service sales consist primarily of satellite service capacity, depreciation, service network overhead expense associated with our HTS Broadband network infrastructure, direct network service labor, product installation costs, media materials and distribution costs, and service repair materials.</w:t>
      </w:r>
    </w:p>
    <w:p>
      <w:pPr>
        <w:spacing w:after="0" w:line="189" w:lineRule="exact"/>
        <w:rPr>
          <w:sz w:val="20"/>
          <w:szCs w:val="20"/>
          <w:color w:val="auto"/>
        </w:rPr>
      </w:pPr>
    </w:p>
    <w:p>
      <w:pPr>
        <w:jc w:val="both"/>
        <w:ind w:firstLine="521"/>
        <w:spacing w:after="0" w:line="279" w:lineRule="auto"/>
        <w:rPr>
          <w:sz w:val="20"/>
          <w:szCs w:val="20"/>
          <w:color w:val="auto"/>
        </w:rPr>
      </w:pPr>
      <w:r>
        <w:rPr>
          <w:rFonts w:ascii="Times New Roman" w:cs="Times New Roman" w:eastAsia="Times New Roman" w:hAnsi="Times New Roman"/>
          <w:sz w:val="19"/>
          <w:szCs w:val="19"/>
          <w:color w:val="auto"/>
        </w:rPr>
        <w:t>For 2025, costs of service sales increased by $3.7 million, or 6%, to $63.7 million from $60.0 million in 2024. Costs of service sales increased primarily due to a $3.1 million increase in airtime costs of service sales and a $0.6 million increase in content services cost of services sales. Airtime costs of service sales included $1.5 million of costs associated with providing airtime services to customers acquired from the business combination that took place in October 2025. As a percentage of service sales, costs of service sales were 65% and 62% for 2025 and 2024, respectively. The increase in cost of service sales as a percentage of service sales was primarily due to the $1.5 million purchase during the fourth quarter of 2025 of VSAT airtime in excess of usage in order to meet our contractual minimum purchase obligations for VSAT airtime in 2025, and the increased rates of Starlink airtime data usage by customers prior to expiration of that data.</w:t>
      </w:r>
    </w:p>
    <w:p>
      <w:pPr>
        <w:spacing w:after="0" w:line="206"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Our costs of product sales consist primarily of materials, manufacturing overhead, and direct labor used to produce our products. For 2025, costs of product sales increased by $0.7 million, or 4%, to $19.3 million from $18.6 million in 2024, primarily due to a $4.3 million increase in various manufacturing and other unabsorbed expenses and a $0.9 million increase in Eutelsat OneWeb cost of product sales. The manufacturing and other unabsorbed costs included a $5.5 million inventory writedown related primarily to further reduced demand for certain of our hardware products as well as a reduction in the prices we charge for certain TracNet H-series terminals. These increases were partially offset by a $1.9 million decrease in Starlink cost of product sales, a $1.2 million decrease in TracVision cost of product sales, a $0.8 million decrease in VSAT Broadband cost of product sales and a $0.5 million decrease in accessory cost of product sales. As a percentage of product sales, costs of product sales were 153% and 107% for 2025 and 2024, respectively. Cost of product sales increased as a percentage of product sales primarily due to the increase in various manufacturing and other unabsorbed expenses.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0" w:orient="portrait"/>
          <w:cols w:equalWidth="0" w:num="1">
            <w:col w:w="9920"/>
          </w:cols>
          <w:pgMar w:left="980" w:top="902" w:right="980"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Expenses</w:t>
      </w:r>
    </w:p>
    <w:p>
      <w:pPr>
        <w:spacing w:after="0" w:line="311"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Research and development expense consists of direct labor, materials, external consultants, and related overhead costs that support our internally funded product development and product sustaining engineering activities. Research and development expense for 2025 decreased by $5.0 million, or 59%, to $3.5 million from $8.4 million in 2024. The decrease in research and development expense resulted primarily from a $4.3 million decrease in salaries, benefits and taxes, after giving effect to $1.4 million in costs incurred during 2024 related to the reduction in our workforce, and a $0.4 million decrease in facilities expense allocated to our research and development operations. As a percentage of net sales, research and development expense was 3% and 7% in 2025 and 2024, respectively.</w:t>
      </w:r>
    </w:p>
    <w:p>
      <w:pPr>
        <w:spacing w:after="0" w:line="225" w:lineRule="exact"/>
        <w:rPr>
          <w:sz w:val="20"/>
          <w:szCs w:val="20"/>
          <w:color w:val="auto"/>
        </w:rPr>
      </w:pPr>
    </w:p>
    <w:p>
      <w:pPr>
        <w:jc w:val="both"/>
        <w:ind w:firstLine="521"/>
        <w:spacing w:after="0" w:line="278" w:lineRule="auto"/>
        <w:rPr>
          <w:sz w:val="20"/>
          <w:szCs w:val="20"/>
          <w:color w:val="auto"/>
        </w:rPr>
      </w:pPr>
      <w:r>
        <w:rPr>
          <w:rFonts w:ascii="Times New Roman" w:cs="Times New Roman" w:eastAsia="Times New Roman" w:hAnsi="Times New Roman"/>
          <w:sz w:val="19"/>
          <w:szCs w:val="19"/>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decreased by $0.6 million, or 3%, to $20.4 million in 2025 from $21.0 million in 2024. The decrease in sales, marketing and support expense resulted primarily from a $0.9 million decrease in facilities expense allocated to our sales, marketing and support operation and a $0.4 million decrease in costs incurred related to the reduction in our workforce, partially offset by a $0.4 million increase in professional fees. As a percentage of net sales, sales, marketing and support expense was 18% in both 2025 and 2024.</w:t>
      </w:r>
    </w:p>
    <w:p>
      <w:pPr>
        <w:spacing w:after="0" w:line="228"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General and administrative expense consists of costs attributable to management, finance and accounting, information technology, human resources, certain outside professional services, and other administrative costs. General and administrative expense for 2025 decreased by $1.2 million, or 7%, to $15.3 million from $16.5 million for 2024. The decrease in general and administrative expense resulted primarily from a $0.9 million decrease in salaries, benefits and taxes, after giving effect to a $0.6 million decrease in costs incurred related to the reduction in our workforce, a $0.5 million decrease in dues and subscriptions expense and a $0.4 million decrease in depreciation expense, partially offset by a $1.0 million increase in facilities expense allocated to our general and administrative operations. As a percentage of net sales, general and administrative expense was 14% and 15% for 2025 and 2024,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Interest and Other Income (Expense), Net</w:t>
      </w:r>
    </w:p>
    <w:p>
      <w:pPr>
        <w:spacing w:after="0" w:line="313"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Interest income represents interest earned on our cash and cash equivalents, as well as from investments and our sale-type lease receivables. Interest income decreased by $0.5 million to $2.6 million from $3.0 million for 2024, primarily as a result of lower cash balances in 2025 as a result of the $17.0 million prepayment in June 2024 for access to a large block of Starlink Mobile Priority data at favorable rates. Of the current period interest income of $2.6 million, $2.2 million is attributable to interest earned on cash and cash equivalents, and $0.4 million was attributable to interest from lease receivables. Other income (expense), net changed by $2.9 million to other income, net of $1.1 million for 2025 from other expense, net of $1.8 million for 2024. This change was driven primarily by a $1.3 million gain on the sale of 50 Enterprise Center in June 2025, a $1.3 million decrease in non-cash losses related to the disposal of AgilePlans revenue-generating fixed assets, a $0.5 million decrease in foreign exchange losses, and a $0.4 million expense incurred in 2024 for a prior period Brazil tax settlement, partially offset by a $0.3 million loss on the sale of 75 Enterprise Center in September 2025 and a $0.3 million loss on the disposal of a discontinued project in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 (Benefit) Expense</w:t>
      </w:r>
    </w:p>
    <w:p>
      <w:pPr>
        <w:spacing w:after="0" w:line="295"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Income tax (benefit) expense for 2025 and 2024 was $(0.1) million and $0.4 million, respectively, and related to taxes on income earned in foreign jurisdictions.</w:t>
      </w:r>
    </w:p>
    <w:p>
      <w:pPr>
        <w:spacing w:after="0" w:line="188"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effective tax rate for 2025 and 2024 was 1.7% and (4.0)%, respectively. For 2025 and 2024, the effective tax rates differed from the statutory tax rate primarily due to our maintaining a valuation allowance reserve on our U.S. deferred tax assets, impairment of goodwill, discrete tax adjustments and the composition of income from foreign jurisdictions taxed at varying rates.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0" w:orient="portrait"/>
          <w:cols w:equalWidth="0" w:num="1">
            <w:col w:w="9920"/>
          </w:cols>
          <w:pgMar w:left="980" w:top="903" w:right="980"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316"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and liabilities, revenues and expenses, and related disclosure at the date of our financial statements. Our significant accounting policies are summarized in Note 1 to our accompanying audited consolidated financial statements. 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2025, as discussed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Intangible Assets and other Long-Lived Assets</w:t>
      </w:r>
    </w:p>
    <w:p>
      <w:pPr>
        <w:spacing w:after="0" w:line="313" w:lineRule="exact"/>
        <w:rPr>
          <w:sz w:val="20"/>
          <w:szCs w:val="20"/>
          <w:color w:val="auto"/>
        </w:rPr>
      </w:pPr>
    </w:p>
    <w:p>
      <w:pPr>
        <w:jc w:val="both"/>
        <w:ind w:firstLine="608"/>
        <w:spacing w:after="0" w:line="297" w:lineRule="auto"/>
        <w:rPr>
          <w:sz w:val="20"/>
          <w:szCs w:val="20"/>
          <w:color w:val="auto"/>
        </w:rPr>
      </w:pPr>
      <w:r>
        <w:rPr>
          <w:rFonts w:ascii="Times New Roman" w:cs="Times New Roman" w:eastAsia="Times New Roman" w:hAnsi="Times New Roman"/>
          <w:sz w:val="19"/>
          <w:szCs w:val="19"/>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we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During 2025, there were no events or changes in circumstances that indicated any of the carrying amounts of our intangible assets or other long-lived assets may not be recoverable. See Note 9 to our accompanying audited consolidated financial statements for further discussion.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317"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Our primary liquidity needs have been to fund general business requirements, including working capital requirements and capital expenditures. In recent years, we have funded our operations primarily from the sale of two businesses in 2022, the sale of 50 Enterprise Center, the sale of 75 Enterprise Center, cash flows from operations and proceeds received from exercises of stock options and the issuance of stock.</w:t>
      </w:r>
    </w:p>
    <w:p>
      <w:pPr>
        <w:spacing w:after="0" w:line="214"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On August 9, 2022, we sold our inertial navigation business to EMCORE Corporation for net proceeds of $54.9 million, less specified deductions.</w:t>
      </w:r>
    </w:p>
    <w:p>
      <w:pPr>
        <w:spacing w:after="0" w:line="185" w:lineRule="exact"/>
        <w:rPr>
          <w:sz w:val="20"/>
          <w:szCs w:val="20"/>
          <w:color w:val="auto"/>
        </w:rPr>
      </w:pPr>
    </w:p>
    <w:p>
      <w:pPr>
        <w:jc w:val="both"/>
        <w:ind w:firstLine="521"/>
        <w:spacing w:after="0" w:line="292" w:lineRule="auto"/>
        <w:rPr>
          <w:sz w:val="20"/>
          <w:szCs w:val="20"/>
          <w:color w:val="auto"/>
        </w:rPr>
      </w:pPr>
      <w:r>
        <w:rPr>
          <w:rFonts w:ascii="Times New Roman" w:cs="Times New Roman" w:eastAsia="Times New Roman" w:hAnsi="Times New Roman"/>
          <w:sz w:val="19"/>
          <w:szCs w:val="19"/>
          <w:color w:val="auto"/>
        </w:rPr>
        <w:t>As of December 31, 2025, we had $69.9 million in cash and cash equivalents, of which $3.6 million in cash equivalents was held in local currencies by our foreign subsidiaries. Our foreign subsidiaries held no marketable securities as of December 31, 2025. As of December 31, 2025, we had $101.1 million in working capital.</w:t>
      </w:r>
    </w:p>
    <w:p>
      <w:pPr>
        <w:spacing w:after="0" w:line="1" w:lineRule="exact"/>
        <w:rPr>
          <w:sz w:val="20"/>
          <w:szCs w:val="20"/>
          <w:color w:val="auto"/>
        </w:rPr>
      </w:pPr>
    </w:p>
    <w:p>
      <w:pPr>
        <w:jc w:val="both"/>
        <w:ind w:firstLine="521"/>
        <w:spacing w:after="0" w:line="296" w:lineRule="auto"/>
        <w:rPr>
          <w:sz w:val="20"/>
          <w:szCs w:val="20"/>
          <w:color w:val="auto"/>
        </w:rPr>
      </w:pPr>
      <w:r>
        <w:rPr>
          <w:rFonts w:ascii="Times New Roman" w:cs="Times New Roman" w:eastAsia="Times New Roman" w:hAnsi="Times New Roman"/>
          <w:sz w:val="19"/>
          <w:szCs w:val="19"/>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In recognition of the substantial growth of Starlink airtime services as a percentage of our revenue since the second quarter of 2024 and in an effort to increase margins, we entered an agreement in the fourth quarter of 2025 to purchase a substantial block of Starlink Global Priority data for $45.0 million. We made an upfront payment of $5.0 million upon entry into the agreement, a payment of $10.0 million in January 2026 and a payment of $6.0 million in February 2026. Periodic payments of the balance owed will continue over the course of the contract period, which runs through the first quarter of 2027.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0" w:orient="portrait"/>
          <w:cols w:equalWidth="0" w:num="1">
            <w:col w:w="9920"/>
          </w:cols>
          <w:pgMar w:left="980" w:top="899" w:right="980" w:bottom="0" w:gutter="0" w:footer="0" w:header="0"/>
        </w:sectPr>
      </w:pPr>
    </w:p>
    <w:bookmarkStart w:id="36" w:name="page37"/>
    <w:bookmarkEnd w:id="36"/>
    <w:p>
      <w:pPr>
        <w:jc w:val="both"/>
        <w:ind w:firstLine="521"/>
        <w:spacing w:after="0" w:line="306" w:lineRule="auto"/>
        <w:rPr>
          <w:sz w:val="20"/>
          <w:szCs w:val="20"/>
          <w:color w:val="auto"/>
        </w:rPr>
      </w:pPr>
      <w:r>
        <w:rPr>
          <w:rFonts w:ascii="Times New Roman" w:cs="Times New Roman" w:eastAsia="Times New Roman" w:hAnsi="Times New Roman"/>
          <w:sz w:val="19"/>
          <w:szCs w:val="19"/>
          <w:color w:val="auto"/>
        </w:rPr>
        <w:t>We believe that our primary long-term capital requirements relate to AgilePlans revenue-generating assets and the development and implementation of our new enterprise resource planning system, as well as servicing and paying our satellite service capacity and equipment lease obligations. At December 31, 2025, we had outstanding non-cancellable satellite service capacity and other purchase obligations with future minimum payments of $72.5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313" w:lineRule="exact"/>
        <w:rPr>
          <w:sz w:val="20"/>
          <w:szCs w:val="20"/>
          <w:color w:val="auto"/>
        </w:rPr>
      </w:pPr>
    </w:p>
    <w:p>
      <w:pPr>
        <w:jc w:val="both"/>
        <w:ind w:firstLine="522"/>
        <w:spacing w:after="0" w:line="298" w:lineRule="auto"/>
        <w:rPr>
          <w:sz w:val="20"/>
          <w:szCs w:val="20"/>
          <w:color w:val="auto"/>
        </w:rPr>
      </w:pPr>
      <w:r>
        <w:rPr>
          <w:rFonts w:ascii="Times New Roman" w:cs="Times New Roman" w:eastAsia="Times New Roman" w:hAnsi="Times New Roman"/>
          <w:sz w:val="19"/>
          <w:szCs w:val="19"/>
          <w:color w:val="auto"/>
        </w:rPr>
        <w:t>Operating activities provided net cash of $17.1 million in 2025 and used net cash of $13.2 million in 2024, an increase in net cash provided by operating activities of $30.3 million. The $30.3 million increase in net cash provided by operations was primarily the result of a $19.7 million decrease in cash outflows related to prepaid expenses and other current assets, which reflected the $5.0 million and $17.0 million purchases of Starlink pooled data in 2025 and 2024, respectively, a $12.6 million decrease in cash outflows relating to inventories, an $8.2 million decrease in cash outflows relating to accrued compensation, product warranty and other expenses, a $3.7 million decrease in net loss, a $0.8 million increase in cash inflows relating to deferred revenue, a $0.7 million increase in cash inflows relating to other non-current assets, and a $0.6 million decrease in cash outflows related to accounts payable, partially offset by an $8.1 million decrease in cash inflows relating to accounts receivable and a $7.9 million reduction in non-cash items.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Investing Activities</w:t>
      </w:r>
    </w:p>
    <w:p>
      <w:pPr>
        <w:spacing w:after="0" w:line="313"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Net cash provided by investing activities for 2025 was $3.9 million as compared to net cash provided by investing activities of $52.4 million for 2024. The $48.5 million decrease in net cash provided by investing activities was primarily the result of a $58.5 million decrease in proceeds from net sales of marketable securities, which was driven by the liquidation of our marketable securities held by Wells Fargo in 2024, $3.8 million of cash paid for a business combination in 2025, partially offset by proceeds of $7.8 million for the sale of 75 Enterprise Center, proceeds of $4.9 million for the sale of 50 Enterprise Center, a $0.9 million increase of proceeds from the sale of fixed assets and a $0.1 million decrease in capital expenditures.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Financing Activities</w:t>
      </w:r>
    </w:p>
    <w:p>
      <w:pPr>
        <w:spacing w:after="0" w:line="313"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Net cash used in financing activities for 2025 was $1.7 million as compared to net cash provided by financing activities in 2024 of $0.1 million. The $1.8 million increase in net cash used in financing activities is primarily attributable to a $1.7 million increase in cash outflows related to the purchase of treasury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Matters</w:t>
      </w:r>
    </w:p>
    <w:p>
      <w:pPr>
        <w:spacing w:after="0" w:line="336"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We intend to continue to invest in our global networks on a worldwide basis. From time to time, we have entered into multi-year agreements to lease satellite capacity, as well as prepaid for access to large blocks of mobile data at favorable rates. These agreements can involve millions of dollars.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Off-Balance Sheet Arrangements</w:t>
      </w:r>
    </w:p>
    <w:p>
      <w:pPr>
        <w:spacing w:after="0" w:line="31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As of December 31, 2025, we had certain satellite service capacity obligations that are not considered operating or financing leases under ASC 842. As of that date, we did not have any off-balance sheet arrangements that have or are reasonably likely to have a material current or future effect on our financial condition, changes in financial condition, revenues, expenses, results of operations, liquidity, cash requirements or capital resources. Please see Note 6 to our accompanying audited consolidated financial statements for additional information on our satellite service capacity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317"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See Note 1 of our accompanying audited consolidated financial statements for a description of recently issued accounting pronouncements including the dates of adoption and effects on our results of operations, financial position and disclosures.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880" w:h="15480" w:orient="portrait"/>
          <w:cols w:equalWidth="0" w:num="1">
            <w:col w:w="9920"/>
          </w:cols>
          <w:pgMar w:left="980" w:top="902" w:right="980" w:bottom="0" w:gutter="0" w:footer="0" w:header="0"/>
        </w:sectPr>
      </w:pPr>
    </w:p>
    <w:bookmarkStart w:id="37" w:name="page38"/>
    <w:bookmarkEnd w:id="37"/>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 About Market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11430</wp:posOffset>
                </wp:positionV>
                <wp:extent cx="62769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9pt" to="494.05pt,0.9pt" o:allowincell="f" strokecolor="#000000" strokeweight="0.926pt"/>
            </w:pict>
          </mc:Fallback>
        </mc:AlternateContent>
      </w:r>
    </w:p>
    <w:p>
      <w:pPr>
        <w:spacing w:after="0" w:line="2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17780</wp:posOffset>
                </wp:positionV>
                <wp:extent cx="62769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4pt" to="494.05pt,1.4pt" o:allowincell="f" strokecolor="#000000" strokeweight="0.9269pt"/>
            </w:pict>
          </mc:Fallback>
        </mc:AlternateContent>
      </w:r>
    </w:p>
    <w:p>
      <w:pPr>
        <w:spacing w:after="0" w:line="264"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Our consolidated financial statements, together with the report of Grant Thornton LLP thereon, our independent registered public accounting firm, are presented after the signature page to this annual report. The report of Grant Thornton LLP on our internal control over financial reporting is included in Item 9A of this annual report.</w:t>
      </w: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78105</wp:posOffset>
                </wp:positionV>
                <wp:extent cx="62769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6.15pt" to="494.05pt,6.15pt" o:allowincell="f" strokecolor="#000000" strokeweight="0.926pt"/>
            </w:pict>
          </mc:Fallback>
        </mc:AlternateContent>
      </w:r>
    </w:p>
    <w:p>
      <w:pPr>
        <w:spacing w:after="0" w:line="3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9A.</w:t>
        <w:tab/>
        <w:t>Controls and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62769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0.85pt" to="494.05pt,0.85pt" o:allowincell="f" strokecolor="#000000" strokeweight="0.926pt"/>
            </w:pict>
          </mc:Fallback>
        </mc:AlternateConten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31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We maintain disclosure controls and procedures, as defined in Rules 13a-15(e) and 15d-15(e) under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Under the supervision and with the participation of our Chief Executive Officer and Chief Financial Officer, our management has evaluated the effectiveness of our disclosure controls and procedures as of December 31, 2025, the end of the period covered by this annual report. Based on that evaluation, our Chief Executive Officer and Chief Financial Officer concluded that our disclosure controls and procedures were effective as of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30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Our internal control over financial reporting is the process designed by and under the supervision of our Chief Executive Officer and Chief Financial Officer to provide reasonable assurance regarding the reliability of our financial reporting and the preparation of our financial statements for external reporting in accordance with accounting principles generally accepted in the United States of America. Management has evaluated the effectiveness of our internal control over financial reporting using the criteria set forth by the Committee of Sponsoring Organizations of the Treadway Commission (COSO) in Internal Control-Integrated Framework (2013).</w:t>
      </w:r>
    </w:p>
    <w:p>
      <w:pPr>
        <w:spacing w:after="0" w:line="225"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Under the supervision and with the participation of our Chief Executive Officer and Chief Financial Officer, our management has assessed the effectiveness of our internal control over financial reporting as of December 31, 2025 and concluded that it was effective.</w:t>
      </w:r>
    </w:p>
    <w:p>
      <w:pPr>
        <w:spacing w:after="0" w:line="208"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On October 8, 2025, we purchased the maritime satellite service business of a satellite services provider operating in the Asia-Pacific region. The new acquisition's total assets and revenues constituted approximately 3% and 2%, respectively, of the Company's consolidated total assets and revenues as shown on our consolidated financial statements as of and for the year ended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0" w:orient="portrait"/>
          <w:cols w:equalWidth="0" w:num="1">
            <w:col w:w="9920"/>
          </w:cols>
          <w:pgMar w:left="980" w:top="1237" w:right="980" w:bottom="0" w:gutter="0" w:footer="0" w:header="0"/>
        </w:sectPr>
      </w:pPr>
    </w:p>
    <w:bookmarkStart w:id="38" w:name="page39"/>
    <w:bookmarkEnd w:id="38"/>
    <w:p>
      <w:pPr>
        <w:jc w:val="both"/>
        <w:spacing w:after="0" w:line="335" w:lineRule="auto"/>
        <w:rPr>
          <w:sz w:val="20"/>
          <w:szCs w:val="20"/>
          <w:color w:val="auto"/>
        </w:rPr>
      </w:pPr>
      <w:r>
        <w:rPr>
          <w:rFonts w:ascii="Times New Roman" w:cs="Times New Roman" w:eastAsia="Times New Roman" w:hAnsi="Times New Roman"/>
          <w:sz w:val="19"/>
          <w:szCs w:val="19"/>
          <w:color w:val="auto"/>
        </w:rPr>
        <w:t>December 31, 2025. In accordance with guidance issued by the staff of the Securities and Exchange Commission, we have excluded this business from our evaluation of internal control over financial reporting as of December 31, 2025.</w:t>
      </w:r>
    </w:p>
    <w:p>
      <w:pPr>
        <w:spacing w:after="0" w:line="188"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Our independent registered public accounting firm, Grant Thornton LLP, has issued a report regarding the effectiveness of our internal control over financial reporting as of December 31, 2025, and that report is included in Item 9A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Changes in Internal Control over Financial Reporting</w:t>
      </w:r>
    </w:p>
    <w:p>
      <w:pPr>
        <w:spacing w:after="0" w:line="31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Under the supervision and with the participation of our Chief Executive Officer and Chief Financial Officer, our management has evaluated changes in our internal control over financial reporting that occurred during the fourth quarter of 2025. Based on that evaluation, our Chief Executive Officer and Chief Financial Officer did not identify any change in our internal control over financial reporting that has materially affected, or is reasonably likely to materially affect, our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Important Considerations</w:t>
      </w:r>
    </w:p>
    <w:p>
      <w:pPr>
        <w:spacing w:after="0" w:line="317"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0" w:orient="portrait"/>
          <w:cols w:equalWidth="0" w:num="1">
            <w:col w:w="9920"/>
          </w:cols>
          <w:pgMar w:left="980" w:top="902" w:right="98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3"/>
          <w:szCs w:val="23"/>
          <w:b w:val="1"/>
          <w:bCs w:val="1"/>
          <w:color w:val="auto"/>
        </w:rPr>
        <w:t>Report of Independent Registered Public Accounting Firm</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of Directors and Stockholders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KVH Industries, Inc.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3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9"/>
          <w:szCs w:val="19"/>
          <w:color w:val="auto"/>
        </w:rPr>
        <w:t>We have audited the internal control over financial reporting of KVH Industries,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21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financial statements of the Company as of and for the year ended December 31, 2025, and our report dated March 10, 2026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31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w:t>
      </w:r>
      <w:r>
        <w:rPr>
          <w:rFonts w:ascii="Times New Roman" w:cs="Times New Roman" w:eastAsia="Times New Roman" w:hAnsi="Times New Roman"/>
          <w:sz w:val="19"/>
          <w:szCs w:val="19"/>
          <w:color w:val="auto"/>
        </w:rPr>
        <w:t>he Company’s management is responsible for maintaining effective internal control over financial reporting and for its</w:t>
      </w:r>
      <w:r>
        <w:rPr>
          <w:rFonts w:ascii="Arial" w:cs="Arial" w:eastAsia="Arial" w:hAnsi="Arial"/>
          <w:sz w:val="17"/>
          <w:szCs w:val="17"/>
          <w:color w:val="auto"/>
        </w:rPr>
        <w:t xml:space="preserve"> </w:t>
      </w:r>
      <w:r>
        <w:rPr>
          <w:rFonts w:ascii="Times New Roman" w:cs="Times New Roman" w:eastAsia="Times New Roman" w:hAnsi="Times New Roman"/>
          <w:sz w:val="19"/>
          <w:szCs w:val="19"/>
          <w:color w:val="auto"/>
        </w:rPr>
        <w:t>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Our audit of, and opinion on, the Company’s internal control over financial reporting does not include the internal control over financial reporting of the maritime satellite service business acquired by the Company in October 2025, whose financial statements reflect total assets and revenues constituting 3% and 2%, respectively, of the related consolidated financial statement amounts as of and for the year ended December 31, 2025. As indicated in Management’s Report, the maritime satellite service business was acquired from a satellite services provider operating in the Asia-Pacific region. Management’s assertion on the effectiveness of the Company’s internal control over financial reporting excluded internal control over financial reporting of the maritime satellite service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3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10"/>
        <w:spacing w:after="0" w:line="307" w:lineRule="auto"/>
        <w:tabs>
          <w:tab w:leader="none" w:pos="27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880" w:h="15480" w:orient="portrait"/>
          <w:cols w:equalWidth="0" w:num="1">
            <w:col w:w="9920"/>
          </w:cols>
          <w:pgMar w:left="980" w:top="894" w:right="980" w:bottom="0" w:gutter="0" w:footer="0" w:header="0"/>
        </w:sectPr>
      </w:pPr>
    </w:p>
    <w:bookmarkStart w:id="40" w:name="page41"/>
    <w:bookmarkEnd w:id="40"/>
    <w:p>
      <w:pPr>
        <w:jc w:val="both"/>
        <w:spacing w:after="0" w:line="335" w:lineRule="auto"/>
        <w:rPr>
          <w:sz w:val="20"/>
          <w:szCs w:val="20"/>
          <w:color w:val="auto"/>
        </w:rPr>
      </w:pPr>
      <w:r>
        <w:rPr>
          <w:rFonts w:ascii="Times New Roman" w:cs="Times New Roman" w:eastAsia="Times New Roman" w:hAnsi="Times New Roman"/>
          <w:sz w:val="19"/>
          <w:szCs w:val="19"/>
          <w:color w:val="auto"/>
        </w:rPr>
        <w:t>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Hartford, Connecticut</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0" w:orient="portrait"/>
          <w:cols w:equalWidth="0" w:num="1">
            <w:col w:w="9920"/>
          </w:cols>
          <w:pgMar w:left="980" w:top="902" w:right="980" w:bottom="0" w:gutter="0" w:footer="0" w:header="0"/>
        </w:sectPr>
      </w:pPr>
    </w:p>
    <w:bookmarkStart w:id="41" w:name="page42"/>
    <w:bookmarkEnd w:id="41"/>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9B.</w:t>
        <w:tab/>
        <w:t>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20320</wp:posOffset>
                </wp:positionV>
                <wp:extent cx="62769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pt" to="494.05pt,1.6pt" o:allowincell="f" strokecolor="#000000" strokeweight="0.926pt"/>
            </w:pict>
          </mc:Fallback>
        </mc:AlternateContent>
      </w:r>
    </w:p>
    <w:p>
      <w:pPr>
        <w:spacing w:after="0" w:line="267" w:lineRule="exact"/>
        <w:rPr>
          <w:sz w:val="20"/>
          <w:szCs w:val="20"/>
          <w:color w:val="auto"/>
        </w:rPr>
      </w:pPr>
    </w:p>
    <w:p>
      <w:pPr>
        <w:ind w:right="100" w:firstLine="521"/>
        <w:spacing w:after="0" w:line="288" w:lineRule="auto"/>
        <w:rPr>
          <w:sz w:val="20"/>
          <w:szCs w:val="20"/>
          <w:color w:val="auto"/>
        </w:rPr>
      </w:pPr>
      <w:r>
        <w:rPr>
          <w:rFonts w:ascii="Times New Roman" w:cs="Times New Roman" w:eastAsia="Times New Roman" w:hAnsi="Times New Roman"/>
          <w:sz w:val="19"/>
          <w:szCs w:val="19"/>
          <w:color w:val="auto"/>
        </w:rPr>
        <w:t>During the fourth quarter of 2025, no director or officer (as defined in Rule 16a-1(f) under the Securities Exchange Act of 1934, as amended) adopted or terminated any Rule 10b5-1 trading arrangement or non-Rule 10b5-1 trading arrangement (as those terms are defined in Item 408(a)(1) of Regulation S-K), including any amendment or modification of the amount, price, or timing of the purchase or sale of securities under such an existing trading arrangement.</w:t>
      </w: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9C.</w:t>
        <w:tab/>
        <w:t>Disclosure Regarding Foreign Jurisdictions that Prevent Inspections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20320</wp:posOffset>
                </wp:positionV>
                <wp:extent cx="62769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pt" to="494.05pt,1.6pt" o:allowincell="f" strokecolor="#000000" strokeweight="0.926pt"/>
            </w:pict>
          </mc:Fallback>
        </mc:AlternateContent>
      </w:r>
    </w:p>
    <w:p>
      <w:pPr>
        <w:spacing w:after="0" w:line="2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Not applicable.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PART III</w:t>
      </w:r>
    </w:p>
    <w:p>
      <w:pPr>
        <w:spacing w:after="0" w:line="341"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We have omitted the information required in Part III of this annual report because we intend to include that information in our definitive proxy statement for our 2026 annual meeting of stockholders, which we expect to file before 120 days after the end of fiscal 2025. We incorporate the information required in Part III of this annual report by reference to our 2026 proxy statement.</w:t>
      </w: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10.</w:t>
        <w:tab/>
        <w:t>Directors, Executive Officers and 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19685</wp:posOffset>
                </wp:positionV>
                <wp:extent cx="62769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55pt" to="494.05pt,1.55pt" o:allowincell="f" strokecolor="#000000" strokeweight="0.926pt"/>
            </w:pict>
          </mc:Fallback>
        </mc:AlternateConten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Except as set forth below, the information required by this item is incorporated by reference to our 2026 proxy statement.</w:t>
      </w:r>
    </w:p>
    <w:p>
      <w:pPr>
        <w:spacing w:after="0" w:line="31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Our Board of Directors has adopted a Code of Business Conduct and Ethics that applies to our directors, executive officers and employees. Our Code of Business Conduct and Ethics can be found on our website, which is located at www.kvh.com. We intend to make all required disclosures concerning any amendments to or waivers from, our Code of Business Conduct and Ethics on our website. Any person may request a copy of the Code of Business Conduct and Ethics, at no cost, by writing to us at the following address: KVH Industries, Inc., 75 Enterprise Center, Middletown, Rhode Island, 02842, Attention: Investor Relations.</w:t>
      </w:r>
    </w:p>
    <w:p>
      <w:pPr>
        <w:spacing w:after="0" w:line="219" w:lineRule="exact"/>
        <w:rPr>
          <w:sz w:val="20"/>
          <w:szCs w:val="20"/>
          <w:color w:val="auto"/>
        </w:rPr>
      </w:pPr>
    </w:p>
    <w:p>
      <w:pPr>
        <w:jc w:val="both"/>
        <w:ind w:firstLine="522"/>
        <w:spacing w:after="0" w:line="303" w:lineRule="auto"/>
        <w:rPr>
          <w:sz w:val="20"/>
          <w:szCs w:val="20"/>
          <w:color w:val="auto"/>
        </w:rPr>
      </w:pPr>
      <w:r>
        <w:rPr>
          <w:rFonts w:ascii="Times New Roman" w:cs="Times New Roman" w:eastAsia="Times New Roman" w:hAnsi="Times New Roman"/>
          <w:sz w:val="19"/>
          <w:szCs w:val="19"/>
          <w:color w:val="auto"/>
        </w:rPr>
        <w:t>Our Board of Directors has also adopted a Securities Trading Policy, a copy of which has been filed with the SEC and is incorporated by reference as an exhibit to this annual report. This policy governs the purchase, sale, and/or other disposition of certain securities by our directors, officers and employees and certain other persons in a manner that we believe is reasonably designed to promote compliance with insider trading laws, rules and regulations and applicable listing requirements of the Nasdaq Stock Market.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11.</w:t>
        <w:tab/>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20320</wp:posOffset>
                </wp:positionV>
                <wp:extent cx="62769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6pt" to="494.05pt,1.6pt" o:allowincell="f" strokecolor="#000000" strokeweight="0.926pt"/>
            </w:pict>
          </mc:Fallback>
        </mc:AlternateContent>
      </w:r>
    </w:p>
    <w:p>
      <w:pPr>
        <w:spacing w:after="0" w:line="2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information required by this item is incorporated by reference to our 2026 proxy statement.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12.</w:t>
        <w:tab/>
        <w:t>Security Ownership of Certain Beneficial Owners and Management and Related Stockholder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19685</wp:posOffset>
                </wp:positionV>
                <wp:extent cx="62769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55pt" to="494.05pt,1.55pt" o:allowincell="f" strokecolor="#000000" strokeweight="0.926pt"/>
            </w:pict>
          </mc:Fallback>
        </mc:AlternateContent>
      </w:r>
    </w:p>
    <w:p>
      <w:pPr>
        <w:spacing w:after="0" w:line="2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information required by this item is incorporated by reference to our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0" w:orient="portrait"/>
          <w:cols w:equalWidth="0" w:num="1">
            <w:col w:w="9920"/>
          </w:cols>
          <w:pgMar w:left="980" w:top="1237" w:right="980" w:bottom="0" w:gutter="0" w:footer="0" w:header="0"/>
        </w:sectPr>
      </w:pPr>
    </w:p>
    <w:bookmarkStart w:id="42" w:name="page43"/>
    <w:bookmarkEnd w:id="42"/>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13.</w:t>
        <w:tab/>
        <w:t>Certain Relationships and Related Transactions, and Director Independence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wp:posOffset>
                </wp:positionH>
                <wp:positionV relativeFrom="paragraph">
                  <wp:posOffset>19685</wp:posOffset>
                </wp:positionV>
                <wp:extent cx="62769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99pt,1.55pt" to="491.05pt,1.55pt" o:allowincell="f" strokecolor="#000000" strokeweight="0.926pt"/>
            </w:pict>
          </mc:Fallback>
        </mc:AlternateConten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information required by this item is incorporated by reference to our 2026 proxy statement.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14.</w:t>
        <w:tab/>
        <w:t>Principal Accountant Fees and Services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wp:posOffset>
                </wp:positionH>
                <wp:positionV relativeFrom="paragraph">
                  <wp:posOffset>20320</wp:posOffset>
                </wp:positionV>
                <wp:extent cx="62769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7697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99pt,1.6pt" to="491.05pt,1.6pt" o:allowincell="f" strokecolor="#000000" strokeweight="0.926pt"/>
            </w:pict>
          </mc:Fallback>
        </mc:AlternateContent>
      </w:r>
    </w:p>
    <w:p>
      <w:pPr>
        <w:spacing w:after="0" w:line="2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information required by this item is incorporated by reference to our 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9"/>
          <w:szCs w:val="19"/>
          <w:color w:val="auto"/>
        </w:rPr>
        <w:t>43</w:t>
      </w:r>
    </w:p>
    <w:p>
      <w:pPr>
        <w:sectPr>
          <w:pgSz w:w="11880" w:h="15480" w:orient="portrait"/>
          <w:cols w:equalWidth="0" w:num="1">
            <w:col w:w="9400"/>
          </w:cols>
          <w:pgMar w:left="1040" w:top="972" w:right="1440" w:bottom="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PART IV</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ITEM 15.</w:t>
            </w:r>
          </w:p>
        </w:tc>
        <w:tc>
          <w:tcPr>
            <w:tcW w:w="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Exhibits and Financial Statement Schedules</w:t>
            </w:r>
          </w:p>
        </w:tc>
        <w:tc>
          <w:tcPr>
            <w:tcW w:w="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Page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  1.  Financial Statements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7280" w:type="dxa"/>
            <w:vAlign w:val="bottom"/>
            <w:gridSpan w:val="7"/>
          </w:tcPr>
          <w:p>
            <w:pPr>
              <w:ind w:left="620"/>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Number 248)</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6320" w:type="dxa"/>
            <w:vAlign w:val="bottom"/>
            <w:gridSpan w:val="6"/>
          </w:tcPr>
          <w:p>
            <w:pPr>
              <w:ind w:left="620"/>
              <w:spacing w:after="0"/>
              <w:rPr>
                <w:sz w:val="20"/>
                <w:szCs w:val="20"/>
                <w:color w:val="auto"/>
              </w:rPr>
            </w:pPr>
            <w:r>
              <w:rPr>
                <w:rFonts w:ascii="Times New Roman" w:cs="Times New Roman" w:eastAsia="Times New Roman" w:hAnsi="Times New Roman"/>
                <w:sz w:val="19"/>
                <w:szCs w:val="19"/>
                <w:color w:val="auto"/>
              </w:rPr>
              <w:t>Consolidated Balance Sheets as of December 31, 2025 and 2024</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8860" w:type="dxa"/>
            <w:vAlign w:val="bottom"/>
            <w:gridSpan w:val="11"/>
          </w:tcPr>
          <w:p>
            <w:pPr>
              <w:ind w:left="620"/>
              <w:spacing w:after="0"/>
              <w:rPr>
                <w:sz w:val="20"/>
                <w:szCs w:val="20"/>
                <w:color w:val="auto"/>
              </w:rPr>
            </w:pPr>
            <w:r>
              <w:rPr>
                <w:rFonts w:ascii="Times New Roman" w:cs="Times New Roman" w:eastAsia="Times New Roman" w:hAnsi="Times New Roman"/>
                <w:sz w:val="19"/>
                <w:szCs w:val="19"/>
                <w:color w:val="auto"/>
              </w:rPr>
              <w:t>Consolidated Statements of Operations for the years ended December 31, 2025 and 2024</w:t>
            </w: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49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8860" w:type="dxa"/>
            <w:vAlign w:val="bottom"/>
            <w:gridSpan w:val="11"/>
          </w:tcPr>
          <w:p>
            <w:pPr>
              <w:ind w:left="620"/>
              <w:spacing w:after="0"/>
              <w:rPr>
                <w:sz w:val="20"/>
                <w:szCs w:val="20"/>
                <w:color w:val="auto"/>
              </w:rPr>
            </w:pPr>
            <w:r>
              <w:rPr>
                <w:rFonts w:ascii="Times New Roman" w:cs="Times New Roman" w:eastAsia="Times New Roman" w:hAnsi="Times New Roman"/>
                <w:sz w:val="19"/>
                <w:szCs w:val="19"/>
                <w:color w:val="auto"/>
              </w:rPr>
              <w:t>Consolidated Statements of Comprehensive Loss for the years ended December 31, 2025 and 2024</w:t>
            </w: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60" w:type="dxa"/>
            <w:vAlign w:val="bottom"/>
          </w:tcPr>
          <w:p>
            <w:pPr>
              <w:spacing w:after="0"/>
              <w:rPr>
                <w:sz w:val="24"/>
                <w:szCs w:val="24"/>
                <w:color w:val="auto"/>
              </w:rPr>
            </w:pPr>
          </w:p>
        </w:tc>
        <w:tc>
          <w:tcPr>
            <w:tcW w:w="8860" w:type="dxa"/>
            <w:vAlign w:val="bottom"/>
            <w:gridSpan w:val="11"/>
          </w:tcPr>
          <w:p>
            <w:pPr>
              <w:ind w:left="620"/>
              <w:spacing w:after="0"/>
              <w:rPr>
                <w:sz w:val="20"/>
                <w:szCs w:val="20"/>
                <w:color w:val="auto"/>
              </w:rPr>
            </w:pPr>
            <w:r>
              <w:rPr>
                <w:rFonts w:ascii="Times New Roman" w:cs="Times New Roman" w:eastAsia="Times New Roman" w:hAnsi="Times New Roman"/>
                <w:sz w:val="19"/>
                <w:szCs w:val="19"/>
                <w:color w:val="auto"/>
              </w:rPr>
              <w:t>Consolidated Statements of Stockholders’ Equity for the years ended December 31, 2025 and 2024</w:t>
            </w: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8860" w:type="dxa"/>
            <w:vAlign w:val="bottom"/>
            <w:gridSpan w:val="11"/>
          </w:tcPr>
          <w:p>
            <w:pPr>
              <w:ind w:left="620"/>
              <w:spacing w:after="0"/>
              <w:rPr>
                <w:sz w:val="20"/>
                <w:szCs w:val="20"/>
                <w:color w:val="auto"/>
              </w:rPr>
            </w:pPr>
            <w:r>
              <w:rPr>
                <w:rFonts w:ascii="Times New Roman" w:cs="Times New Roman" w:eastAsia="Times New Roman" w:hAnsi="Times New Roman"/>
                <w:sz w:val="19"/>
                <w:szCs w:val="19"/>
                <w:color w:val="auto"/>
              </w:rPr>
              <w:t>Consolidated Statements of Cash Flows for the years ended December 31, 2025 and 2024</w:t>
            </w: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532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53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  2.  Financial Statement Schedules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532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auto"/>
              </w:rPr>
              <w:t>None.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532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3.  Exhibits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Filed with</w:t>
            </w:r>
          </w:p>
        </w:tc>
        <w:tc>
          <w:tcPr>
            <w:tcW w:w="3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Incorporated by Reference</w:t>
            </w:r>
          </w:p>
        </w:tc>
        <w:tc>
          <w:tcPr>
            <w:tcW w:w="2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rPr>
              <w:t>this Form</w:t>
            </w:r>
          </w:p>
        </w:tc>
        <w:tc>
          <w:tcPr>
            <w:tcW w:w="3480" w:type="dxa"/>
            <w:vAlign w:val="bottom"/>
            <w:tcBorders>
              <w:bottom w:val="single" w:sz="8" w:color="auto"/>
            </w:tcBorders>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80" w:type="dxa"/>
            <w:vAlign w:val="bottom"/>
          </w:tcPr>
          <w:p>
            <w:pPr>
              <w:spacing w:after="0"/>
              <w:rPr>
                <w:sz w:val="19"/>
                <w:szCs w:val="19"/>
                <w:color w:val="auto"/>
              </w:rPr>
            </w:pPr>
          </w:p>
        </w:tc>
        <w:tc>
          <w:tcPr>
            <w:tcW w:w="42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10-K</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Asset Purchase Agreement dated as of August 9, 2022</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8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August 10,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by and between KVH Industries, Inc., EMCORE</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Corporation and Delta Acquisition Sub, Inc.</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Certificate of Incorporation,</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August 6,</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as amended</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2010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of Designations of Series A Junior</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8-A</w:t>
            </w:r>
          </w:p>
        </w:tc>
        <w:tc>
          <w:tcPr>
            <w:tcW w:w="8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August 19,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Participating Cumulative Preferred Stock of KVH</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Industries, Inc. classifying and designating the Series</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 Junior Participating Cumulative Preferred Stock</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8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Bylaws</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November 1,</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Specimen certificate for the common stock</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2, 2018</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Description of Capital Stock</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15,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8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1996 Employee Stock</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DEF 14A</w:t>
            </w: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April 25, 2016</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App. B</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Purchase Plan</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KVH Industries, Inc. Amended and Restated 2016</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DEF 14A</w:t>
            </w:r>
          </w:p>
        </w:tc>
        <w:tc>
          <w:tcPr>
            <w:tcW w:w="8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May 2, 2022</w:t>
            </w: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App. 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Equity and Incentive Plan, as amended</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Incentive Stock Option Agreement granted</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22"/>
                <w:szCs w:val="22"/>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9,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under the 2016 Equity and Incentive Plan</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Non-Statutory Stock Option Agreement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9,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granted under the 2016 Equity and Incentive Plan</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Restricted Stock Agreement granted under</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9,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2016 Equity and Incentive Plan</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80" w:type="dxa"/>
            <w:vAlign w:val="bottom"/>
          </w:tcPr>
          <w:p>
            <w:pPr>
              <w:spacing w:after="0"/>
              <w:rPr>
                <w:sz w:val="19"/>
                <w:szCs w:val="19"/>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Policies Regarding Non-Employee Director</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80" w:type="dxa"/>
            <w:vAlign w:val="bottom"/>
          </w:tcPr>
          <w:p>
            <w:pPr>
              <w:spacing w:after="0"/>
              <w:rPr>
                <w:sz w:val="19"/>
                <w:szCs w:val="19"/>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9"/>
                <w:szCs w:val="19"/>
                <w:color w:val="auto"/>
              </w:rPr>
              <w:t>March 15,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Compensation and Stock Ownership Guidelines</w:t>
            </w: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44</w:t>
      </w:r>
    </w:p>
    <w:p>
      <w:pPr>
        <w:sectPr>
          <w:pgSz w:w="11880" w:h="15480" w:orient="portrait"/>
          <w:cols w:equalWidth="0" w:num="1">
            <w:col w:w="9900"/>
          </w:cols>
          <w:pgMar w:left="980" w:top="890" w:right="1000" w:bottom="0" w:gutter="0" w:footer="0" w:header="0"/>
        </w:sectPr>
      </w:pPr>
    </w:p>
    <w:bookmarkStart w:id="44" w:name="page45"/>
    <w:bookmarkEnd w:id="44"/>
    <w:tbl>
      <w:tblPr>
        <w:tblLayout w:type="fixed"/>
        <w:tblInd w:w="13"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Filed with</w:t>
            </w:r>
          </w:p>
        </w:tc>
      </w:tr>
      <w:tr>
        <w:trPr>
          <w:trHeight w:val="177"/>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this Form</w:t>
            </w:r>
          </w:p>
        </w:tc>
      </w:tr>
      <w:tr>
        <w:trPr>
          <w:trHeight w:val="225"/>
        </w:trPr>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80" w:type="dxa"/>
            <w:vAlign w:val="bottom"/>
          </w:tcPr>
          <w:p>
            <w:pPr>
              <w:spacing w:after="0"/>
              <w:rPr>
                <w:sz w:val="19"/>
                <w:szCs w:val="19"/>
                <w:color w:val="auto"/>
              </w:rPr>
            </w:pPr>
          </w:p>
        </w:tc>
        <w:tc>
          <w:tcPr>
            <w:tcW w:w="42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10-K</w:t>
            </w:r>
          </w:p>
        </w:tc>
      </w:tr>
      <w:tr>
        <w:trPr>
          <w:trHeight w:val="254"/>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w:t>
            </w: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dated as of May</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 2022 between KVH Industries, Inc. and Brent C.</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6"/>
        </w:trPr>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Bruun</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2"/>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Amendment No. 1 dated as of October 11, 2022 to</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between KVH</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Industries, Inc. and Brent C. Bruun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4"/>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80" w:type="dxa"/>
            <w:vAlign w:val="bottom"/>
          </w:tcPr>
          <w:p>
            <w:pPr>
              <w:spacing w:after="0"/>
              <w:rPr>
                <w:sz w:val="23"/>
                <w:szCs w:val="2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Employment Agreement dated as of May</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 2022 between KVH Industries, Inc. and Felise B.</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Feingold</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10"/>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10.10</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Cooperation Agreement, dated as of February 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1"/>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2023, by and among KVH Industries, Inc., Black</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Diamond Capital Management, L.L.C., Stephen H.</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Deckoff and the Investor Group Designees (as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defined therein)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3"/>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Form of Indemnification Agreement for directors and</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5"/>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officers</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2"/>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10.12</w:t>
            </w: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Purchase and Sale Agreement dated December 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2024 between KVH Industries, Inc. and Knight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Capital LLC regarding 75 Enterprise Center</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03"/>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Securities Trading Policy</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9"/>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List of Subsidiaries</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89"/>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Consent of Grant Thornton LLP</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52"/>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w:t>
            </w:r>
          </w:p>
        </w:tc>
        <w:tc>
          <w:tcPr>
            <w:tcW w:w="80" w:type="dxa"/>
            <w:vAlign w:val="bottom"/>
          </w:tcPr>
          <w:p>
            <w:pPr>
              <w:spacing w:after="0"/>
              <w:rPr>
                <w:sz w:val="21"/>
                <w:szCs w:val="21"/>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Rule 13a-14(a)/15d-14(a) certification of principal</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55"/>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officer</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4"/>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Rule 13a-14(a)/15d-14(a) certification of principal</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56"/>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financial officer</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9"/>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w:t>
            </w: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Rule 1350 certification</w:t>
            </w:r>
          </w:p>
        </w:tc>
        <w:tc>
          <w:tcPr>
            <w:tcW w:w="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89"/>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KVH Compensation Recovery Policy</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2"/>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101.1</w:t>
            </w:r>
          </w:p>
        </w:tc>
        <w:tc>
          <w:tcPr>
            <w:tcW w:w="80" w:type="dxa"/>
            <w:vAlign w:val="bottom"/>
          </w:tcPr>
          <w:p>
            <w:pPr>
              <w:spacing w:after="0"/>
              <w:rPr>
                <w:sz w:val="21"/>
                <w:szCs w:val="21"/>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Interactive Data File regarding (a) our Consolidated</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1"/>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Balance Sheets as of December 31, 2025 and 2024,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 our Consolidated Statements of Operations for the</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years ended December 31, 2025 and 2024, (c) our</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1"/>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Comprehensive Loss for</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years ended December 31, 2025 and 2024, (d) our</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Stockholders' Equity for</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1"/>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years ended December 31, 2025 and 2024, (e) our</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Consolidated Statements of Cash Flows for the years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ended December 31, 2025 and 2024, and (f) the</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Notes to such Consolidated Financial Statements</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9"/>
        </w:trPr>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104.1</w:t>
            </w:r>
          </w:p>
        </w:tc>
        <w:tc>
          <w:tcPr>
            <w:tcW w:w="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Cover Page Interactive Data File (embedded within</w:t>
            </w:r>
          </w:p>
        </w:tc>
        <w:tc>
          <w:tcPr>
            <w:tcW w:w="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59"/>
        </w:trPr>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Inline XBRL document)</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148" w:lineRule="exact"/>
        <w:rPr>
          <w:sz w:val="20"/>
          <w:szCs w:val="20"/>
          <w:color w:val="auto"/>
        </w:rPr>
      </w:pPr>
    </w:p>
    <w:p>
      <w:pPr>
        <w:ind w:left="513" w:hanging="513"/>
        <w:spacing w:after="0"/>
        <w:tabs>
          <w:tab w:leader="none" w:pos="513"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or compensatory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-132080</wp:posOffset>
                </wp:positionV>
                <wp:extent cx="123063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0630"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10.3999pt" to="96.35pt,-10.3999pt" o:allowincell="f" strokecolor="#000000" strokeweight="0.92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853"/>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38735</wp:posOffset>
                </wp:positionV>
                <wp:extent cx="226949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9490" cy="4763"/>
                        </a:xfrm>
                        <a:prstGeom prst="line">
                          <a:avLst/>
                        </a:prstGeom>
                        <a:solidFill>
                          <a:srgbClr val="FFFFFF"/>
                        </a:solidFill>
                        <a:ln w="11759">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05pt" to="178.8pt,3.05pt" o:allowincell="f" strokecolor="#000000" strokeweight="0.9259pt"/>
            </w:pict>
          </mc:Fallback>
        </mc:AlternateConten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Filing Date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Exhibit No.</w:t>
            </w:r>
          </w:p>
        </w:tc>
      </w:tr>
      <w:tr>
        <w:trPr>
          <w:trHeight w:val="648"/>
        </w:trPr>
        <w:tc>
          <w:tcPr>
            <w:tcW w:w="9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10-Q</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9, 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496"/>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December 6,</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9"/>
        </w:trPr>
        <w:tc>
          <w:tcPr>
            <w:tcW w:w="9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10-Q</w:t>
            </w:r>
          </w:p>
        </w:tc>
        <w:tc>
          <w:tcPr>
            <w:tcW w:w="156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w w:val="99"/>
              </w:rPr>
              <w:t>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791"/>
        </w:trPr>
        <w:tc>
          <w:tcPr>
            <w:tcW w:w="96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10-Q</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August 9, 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80" w:type="dxa"/>
        <w:tblCellMar>
          <w:top w:w="0" w:type="dxa"/>
          <w:left w:w="0" w:type="dxa"/>
          <w:bottom w:w="0" w:type="dxa"/>
          <w:right w:w="0" w:type="dxa"/>
        </w:tblCellMar>
      </w:tblPr>
      <w:tr>
        <w:trPr>
          <w:trHeight w:val="259"/>
        </w:trPr>
        <w:tc>
          <w:tcPr>
            <w:tcW w:w="620" w:type="dxa"/>
            <w:vAlign w:val="bottom"/>
          </w:tcPr>
          <w:p>
            <w:pPr>
              <w:jc w:val="center"/>
              <w:ind w:right="103"/>
              <w:spacing w:after="0"/>
              <w:rPr>
                <w:sz w:val="20"/>
                <w:szCs w:val="20"/>
                <w:color w:val="auto"/>
              </w:rPr>
            </w:pPr>
            <w:r>
              <w:rPr>
                <w:rFonts w:ascii="Times New Roman" w:cs="Times New Roman" w:eastAsia="Times New Roman" w:hAnsi="Times New Roman"/>
                <w:sz w:val="19"/>
                <w:szCs w:val="19"/>
                <w:color w:val="auto"/>
              </w:rPr>
              <w:t>8-K</w:t>
            </w:r>
          </w:p>
        </w:tc>
        <w:tc>
          <w:tcPr>
            <w:tcW w:w="18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February 3,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r>
      <w:tr>
        <w:trPr>
          <w:trHeight w:val="478"/>
        </w:trPr>
        <w:tc>
          <w:tcPr>
            <w:tcW w:w="620" w:type="dxa"/>
            <w:vAlign w:val="bottom"/>
          </w:tcPr>
          <w:p>
            <w:pPr>
              <w:jc w:val="center"/>
              <w:ind w:right="123"/>
              <w:spacing w:after="0"/>
              <w:rPr>
                <w:sz w:val="20"/>
                <w:szCs w:val="20"/>
                <w:color w:val="auto"/>
              </w:rPr>
            </w:pPr>
            <w:r>
              <w:rPr>
                <w:rFonts w:ascii="Times New Roman" w:cs="Times New Roman" w:eastAsia="Times New Roman" w:hAnsi="Times New Roman"/>
                <w:sz w:val="19"/>
                <w:szCs w:val="19"/>
                <w:color w:val="auto"/>
              </w:rPr>
              <w:t>10-K</w:t>
            </w:r>
          </w:p>
        </w:tc>
        <w:tc>
          <w:tcPr>
            <w:tcW w:w="18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March 15,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10.13</w:t>
            </w:r>
          </w:p>
        </w:tc>
      </w:tr>
      <w:tr>
        <w:trPr>
          <w:trHeight w:val="747"/>
        </w:trPr>
        <w:tc>
          <w:tcPr>
            <w:tcW w:w="620" w:type="dxa"/>
            <w:vAlign w:val="bottom"/>
          </w:tcPr>
          <w:p>
            <w:pPr>
              <w:jc w:val="center"/>
              <w:ind w:right="123"/>
              <w:spacing w:after="0"/>
              <w:rPr>
                <w:sz w:val="20"/>
                <w:szCs w:val="20"/>
                <w:color w:val="auto"/>
              </w:rPr>
            </w:pPr>
            <w:r>
              <w:rPr>
                <w:rFonts w:ascii="Times New Roman" w:cs="Times New Roman" w:eastAsia="Times New Roman" w:hAnsi="Times New Roman"/>
                <w:sz w:val="19"/>
                <w:szCs w:val="19"/>
                <w:color w:val="auto"/>
              </w:rPr>
              <w:t>10-K</w:t>
            </w:r>
          </w:p>
        </w:tc>
        <w:tc>
          <w:tcPr>
            <w:tcW w:w="18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March 10,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10.14</w:t>
            </w:r>
          </w:p>
        </w:tc>
      </w:tr>
      <w:tr>
        <w:trPr>
          <w:trHeight w:val="323"/>
        </w:trPr>
        <w:tc>
          <w:tcPr>
            <w:tcW w:w="620" w:type="dxa"/>
            <w:vAlign w:val="bottom"/>
          </w:tcPr>
          <w:p>
            <w:pPr>
              <w:jc w:val="center"/>
              <w:ind w:right="123"/>
              <w:spacing w:after="0"/>
              <w:rPr>
                <w:sz w:val="20"/>
                <w:szCs w:val="20"/>
                <w:color w:val="auto"/>
              </w:rPr>
            </w:pPr>
            <w:r>
              <w:rPr>
                <w:rFonts w:ascii="Times New Roman" w:cs="Times New Roman" w:eastAsia="Times New Roman" w:hAnsi="Times New Roman"/>
                <w:sz w:val="19"/>
                <w:szCs w:val="19"/>
                <w:color w:val="auto"/>
              </w:rPr>
              <w:t>10-K</w:t>
            </w:r>
          </w:p>
        </w:tc>
        <w:tc>
          <w:tcPr>
            <w:tcW w:w="18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March 10,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80"/>
        <w:spacing w:after="0"/>
        <w:tabs>
          <w:tab w:leader="none" w:pos="1160" w:val="left"/>
          <w:tab w:leader="none" w:pos="3160" w:val="left"/>
        </w:tabs>
        <w:rPr>
          <w:sz w:val="20"/>
          <w:szCs w:val="20"/>
          <w:color w:val="auto"/>
        </w:rPr>
      </w:pPr>
      <w:r>
        <w:rPr>
          <w:rFonts w:ascii="Times New Roman" w:cs="Times New Roman" w:eastAsia="Times New Roman" w:hAnsi="Times New Roman"/>
          <w:sz w:val="19"/>
          <w:szCs w:val="19"/>
          <w:color w:val="auto"/>
        </w:rPr>
        <w:t>10-K</w:t>
      </w:r>
      <w:r>
        <w:rPr>
          <w:sz w:val="20"/>
          <w:szCs w:val="20"/>
          <w:color w:val="auto"/>
        </w:rPr>
        <w:tab/>
      </w:r>
      <w:r>
        <w:rPr>
          <w:rFonts w:ascii="Times New Roman" w:cs="Times New Roman" w:eastAsia="Times New Roman" w:hAnsi="Times New Roman"/>
          <w:sz w:val="19"/>
          <w:szCs w:val="19"/>
          <w:color w:val="auto"/>
        </w:rPr>
        <w:t>March 15, 2024</w:t>
      </w:r>
      <w:r>
        <w:rPr>
          <w:sz w:val="20"/>
          <w:szCs w:val="20"/>
          <w:color w:val="auto"/>
        </w:rPr>
        <w:tab/>
      </w:r>
      <w:r>
        <w:rPr>
          <w:rFonts w:ascii="Times New Roman" w:cs="Times New Roman" w:eastAsia="Times New Roman" w:hAnsi="Times New Roman"/>
          <w:sz w:val="19"/>
          <w:szCs w:val="19"/>
          <w:color w:val="auto"/>
        </w:rPr>
        <w:t>97.1</w:t>
      </w:r>
    </w:p>
    <w:p>
      <w:pPr>
        <w:sectPr>
          <w:pgSz w:w="11880" w:h="15480" w:orient="portrait"/>
          <w:cols w:equalWidth="0" w:num="2">
            <w:col w:w="6253" w:space="60"/>
            <w:col w:w="3580"/>
          </w:cols>
          <w:pgMar w:left="987" w:top="979" w:right="1000" w:bottom="0" w:gutter="0" w:footer="0" w:header="0"/>
        </w:sectPr>
      </w:pPr>
    </w:p>
    <w:bookmarkStart w:id="45" w:name="page46"/>
    <w:bookmarkEnd w:id="45"/>
    <w:p>
      <w:pPr>
        <w:ind w:left="80"/>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ITEM 16.</w:t>
        <w:tab/>
        <w:t>Form 10-K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11430</wp:posOffset>
                </wp:positionV>
                <wp:extent cx="625919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919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0.9pt" to="494.05pt,0.9pt" o:allowincell="f" strokecolor="#000000" strokeweight="0.926pt"/>
            </w:pict>
          </mc:Fallback>
        </mc:AlternateContent>
      </w:r>
    </w:p>
    <w:p>
      <w:pPr>
        <w:spacing w:after="0" w:line="2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None.</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SIGNATURES</w:t>
      </w:r>
    </w:p>
    <w:p>
      <w:pPr>
        <w:spacing w:after="0" w:line="329" w:lineRule="exact"/>
        <w:rPr>
          <w:sz w:val="20"/>
          <w:szCs w:val="20"/>
          <w:color w:val="auto"/>
        </w:rPr>
      </w:pPr>
    </w:p>
    <w:p>
      <w:pPr>
        <w:ind w:right="20" w:firstLine="478"/>
        <w:spacing w:after="0" w:line="333" w:lineRule="auto"/>
        <w:rPr>
          <w:sz w:val="20"/>
          <w:szCs w:val="20"/>
          <w:color w:val="auto"/>
        </w:rPr>
      </w:pPr>
      <w:r>
        <w:rPr>
          <w:rFonts w:ascii="Times New Roman" w:cs="Times New Roman" w:eastAsia="Times New Roman" w:hAnsi="Times New Roman"/>
          <w:sz w:val="19"/>
          <w:szCs w:val="19"/>
          <w:color w:val="auto"/>
        </w:rPr>
        <w:t>Pursuant to the requirements of Section 13 or Section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color w:val="auto"/>
        </w:rPr>
        <w:t>KVH Industries, Inc.</w:t>
      </w:r>
    </w:p>
    <w:p>
      <w:pPr>
        <w:spacing w:after="0" w:line="315" w:lineRule="exact"/>
        <w:rPr>
          <w:sz w:val="20"/>
          <w:szCs w:val="20"/>
          <w:color w:val="auto"/>
        </w:rPr>
      </w:pPr>
    </w:p>
    <w:p>
      <w:pPr>
        <w:ind w:left="60"/>
        <w:spacing w:after="0"/>
        <w:tabs>
          <w:tab w:leader="none" w:pos="5020" w:val="left"/>
          <w:tab w:leader="none" w:pos="5500" w:val="left"/>
          <w:tab w:leader="none" w:pos="5880" w:val="left"/>
        </w:tabs>
        <w:rPr>
          <w:sz w:val="20"/>
          <w:szCs w:val="20"/>
          <w:color w:val="auto"/>
        </w:rPr>
      </w:pPr>
      <w:r>
        <w:rPr>
          <w:rFonts w:ascii="Times New Roman" w:cs="Times New Roman" w:eastAsia="Times New Roman" w:hAnsi="Times New Roman"/>
          <w:sz w:val="19"/>
          <w:szCs w:val="19"/>
          <w:color w:val="auto"/>
        </w:rPr>
        <w:t>Date: March 10, 2026</w:t>
      </w:r>
      <w:r>
        <w:rPr>
          <w:sz w:val="20"/>
          <w:szCs w:val="20"/>
          <w:color w:val="auto"/>
        </w:rPr>
        <w:tab/>
      </w:r>
      <w:r>
        <w:rPr>
          <w:rFonts w:ascii="Times New Roman" w:cs="Times New Roman" w:eastAsia="Times New Roman" w:hAnsi="Times New Roman"/>
          <w:sz w:val="19"/>
          <w:szCs w:val="19"/>
          <w:color w:val="auto"/>
        </w:rPr>
        <w:t>By:</w:t>
        <w:tab/>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9"/>
          <w:szCs w:val="19"/>
          <w:color w:val="auto"/>
        </w:rPr>
        <w:t>/</w:t>
        <w:tab/>
        <w:t>BRENT C. BRUUN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3466465</wp:posOffset>
                </wp:positionH>
                <wp:positionV relativeFrom="paragraph">
                  <wp:posOffset>17145</wp:posOffset>
                </wp:positionV>
                <wp:extent cx="282194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1940"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95pt,1.35pt" to="495.15pt,1.35pt" o:allowincell="f" strokecolor="#000000" strokeweight="0.9269pt"/>
            </w:pict>
          </mc:Fallback>
        </mc:AlternateContent>
      </w:r>
    </w:p>
    <w:p>
      <w:pPr>
        <w:spacing w:after="0" w:line="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Brent C. Bruun</w:t>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b w:val="1"/>
          <w:bCs w:val="1"/>
          <w:color w:val="auto"/>
        </w:rPr>
        <w:t>President, Chief Executive Officer and Director</w:t>
      </w:r>
    </w:p>
    <w:p>
      <w:pPr>
        <w:spacing w:after="0" w:line="248" w:lineRule="exact"/>
        <w:rPr>
          <w:sz w:val="20"/>
          <w:szCs w:val="20"/>
          <w:color w:val="auto"/>
        </w:rPr>
      </w:pPr>
    </w:p>
    <w:p>
      <w:pPr>
        <w:ind w:firstLine="478"/>
        <w:spacing w:after="0" w:line="33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in the capacities and on the dates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162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16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20"/>
        </w:trPr>
        <w:tc>
          <w:tcPr>
            <w:tcW w:w="1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4"/>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BRENT C. BRUUN</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President, Chief Executive Officer and Director</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4"/>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Brent C. Bruun</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562"/>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ANTHONY F. PIKE</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Chief Financial Officer (Principal Financial Officer and</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3"/>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Anthony F. Pike</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07"/>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DAVID M. TOLLEY</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Chairman of the Board of Directors</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1"/>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David M. Tolley</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621"/>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STEPHEN H. DECKOFF</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Director</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3"/>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Stephen H. Deckoff</w:t>
            </w: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06"/>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DAVID B. KAGAN</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Director</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3"/>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David B. Kagan</w:t>
            </w: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629"/>
        </w:trPr>
        <w:tc>
          <w:tcPr>
            <w:tcW w:w="3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9"/>
                <w:szCs w:val="19"/>
                <w:color w:val="auto"/>
              </w:rPr>
              <w:t>/S/ JOSEPH A. SPYTEK</w:t>
            </w:r>
          </w:p>
        </w:tc>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Director</w:t>
            </w: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99"/>
              </w:rPr>
              <w:t>March 10, 2026</w:t>
            </w:r>
          </w:p>
        </w:tc>
      </w:tr>
      <w:tr>
        <w:trPr>
          <w:trHeight w:val="243"/>
        </w:trPr>
        <w:tc>
          <w:tcPr>
            <w:tcW w:w="36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Joseph A. Spytek</w:t>
            </w: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0" w:orient="portrait"/>
          <w:cols w:equalWidth="0" w:num="1">
            <w:col w:w="9920"/>
          </w:cols>
          <w:pgMar w:left="980" w:top="1237" w:right="980"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3"/>
          <w:szCs w:val="23"/>
          <w:b w:val="1"/>
          <w:bCs w:val="1"/>
          <w:color w:val="auto"/>
        </w:rPr>
        <w:t>Report of Independent Registered Public Accounting Firm</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of Directors and Stockholders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KVH Industries, Inc.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78" w:lineRule="exact"/>
        <w:rPr>
          <w:sz w:val="20"/>
          <w:szCs w:val="20"/>
          <w:color w:val="auto"/>
        </w:rPr>
      </w:pPr>
    </w:p>
    <w:p>
      <w:pPr>
        <w:jc w:val="both"/>
        <w:ind w:firstLine="1"/>
        <w:spacing w:after="0" w:line="299"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KVH Industries, Inc. (a Delaware corporation) and subsidiaries (the “Company”) as of December 31, 2025 and 2024, the related consolidated statements of operations,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22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cs="Times New Roman" w:eastAsia="Times New Roman" w:hAnsi="Times New Roman"/>
          <w:sz w:val="19"/>
          <w:szCs w:val="19"/>
          <w:i w:val="1"/>
          <w:iCs w:val="1"/>
          <w:color w:val="auto"/>
        </w:rPr>
        <w:t>Internal Control—Integrated Framework</w:t>
      </w:r>
      <w:r>
        <w:rPr>
          <w:rFonts w:ascii="Times New Roman" w:cs="Times New Roman" w:eastAsia="Times New Roman" w:hAnsi="Times New Roman"/>
          <w:sz w:val="19"/>
          <w:szCs w:val="19"/>
          <w:color w:val="auto"/>
        </w:rPr>
        <w:t xml:space="preserve"> issued by the Committee of Sponsoring Organizations of the Treadway Commission (“COSO”), and our report dated March 10, 2026 expressed an unqualified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7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27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have determined that there are no critical audit matters.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We have served as the Company’s auditor since 2014.</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Hartford, Connecticut</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0" w:orient="portrait"/>
          <w:cols w:equalWidth="0" w:num="1">
            <w:col w:w="9920"/>
          </w:cols>
          <w:pgMar w:left="980" w:top="894" w:right="980" w:bottom="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E6E6E6"/>
            </w:tcBorders>
          </w:tcPr>
          <w:p>
            <w:pPr>
              <w:spacing w:after="0"/>
              <w:rPr>
                <w:sz w:val="17"/>
                <w:szCs w:val="17"/>
                <w:color w:val="auto"/>
              </w:rPr>
            </w:pPr>
          </w:p>
        </w:tc>
        <w:tc>
          <w:tcPr>
            <w:tcW w:w="75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8"/>
        </w:trPr>
        <w:tc>
          <w:tcPr>
            <w:tcW w:w="60" w:type="dxa"/>
            <w:vAlign w:val="bottom"/>
            <w:shd w:val="clear" w:color="auto" w:fill="E6E6E6"/>
          </w:tcPr>
          <w:p>
            <w:pPr>
              <w:spacing w:after="0"/>
              <w:rPr>
                <w:sz w:val="17"/>
                <w:szCs w:val="17"/>
                <w:color w:val="auto"/>
              </w:rPr>
            </w:pPr>
          </w:p>
        </w:tc>
        <w:tc>
          <w:tcPr>
            <w:tcW w:w="7580" w:type="dxa"/>
            <w:vAlign w:val="bottom"/>
            <w:gridSpan w:val="2"/>
            <w:shd w:val="clear" w:color="auto" w:fill="E6E6E6"/>
          </w:tcPr>
          <w:p>
            <w:pPr>
              <w:ind w:left="346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E6E6E6"/>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69,910</w:t>
            </w:r>
          </w:p>
        </w:tc>
        <w:tc>
          <w:tcPr>
            <w:tcW w:w="560" w:type="dxa"/>
            <w:vAlign w:val="bottom"/>
            <w:gridSpan w:val="3"/>
            <w:shd w:val="clear" w:color="auto" w:fill="E6E6E6"/>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50,572</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Accounts receivable, net of allowance for credit losses of $712 and $1,006 as of December 31, 2025 &amp;</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25,049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21,624</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December 31, 2024, respectively</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14,859</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22,953</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16,016</w:t>
            </w: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Current assets held for sale</w:t>
            </w:r>
          </w:p>
        </w:tc>
        <w:tc>
          <w:tcPr>
            <w:tcW w:w="340" w:type="dxa"/>
            <w:vAlign w:val="bottom"/>
            <w:tcBorders>
              <w:bottom w:val="single" w:sz="8" w:color="auto"/>
            </w:tcBorders>
            <w:shd w:val="clear" w:color="auto" w:fill="E6E6E6"/>
          </w:tcPr>
          <w:p>
            <w:pPr>
              <w:spacing w:after="0"/>
              <w:rPr>
                <w:sz w:val="22"/>
                <w:szCs w:val="22"/>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11,410</w:t>
            </w:r>
          </w:p>
        </w:tc>
        <w:tc>
          <w:tcPr>
            <w:tcW w:w="0" w:type="dxa"/>
            <w:vAlign w:val="bottom"/>
          </w:tcPr>
          <w:p>
            <w:pPr>
              <w:spacing w:after="0"/>
              <w:rPr>
                <w:sz w:val="1"/>
                <w:szCs w:val="1"/>
                <w:color w:val="auto"/>
              </w:rPr>
            </w:pPr>
          </w:p>
        </w:tc>
      </w:tr>
      <w:tr>
        <w:trPr>
          <w:trHeight w:val="258"/>
        </w:trPr>
        <w:tc>
          <w:tcPr>
            <w:tcW w:w="60" w:type="dxa"/>
            <w:vAlign w:val="bottom"/>
            <w:tcBorders>
              <w:bottom w:val="single" w:sz="8" w:color="E6E6E6"/>
            </w:tcBorders>
          </w:tcPr>
          <w:p>
            <w:pPr>
              <w:spacing w:after="0"/>
              <w:rPr>
                <w:sz w:val="22"/>
                <w:szCs w:val="22"/>
                <w:color w:val="auto"/>
              </w:rPr>
            </w:pPr>
          </w:p>
        </w:tc>
        <w:tc>
          <w:tcPr>
            <w:tcW w:w="7580" w:type="dxa"/>
            <w:vAlign w:val="bottom"/>
            <w:tcBorders>
              <w:bottom w:val="single" w:sz="8" w:color="E6E6E6"/>
            </w:tcBorders>
            <w:gridSpan w:val="2"/>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117,798</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122,575</w:t>
            </w:r>
          </w:p>
        </w:tc>
        <w:tc>
          <w:tcPr>
            <w:tcW w:w="0" w:type="dxa"/>
            <w:vAlign w:val="bottom"/>
          </w:tcPr>
          <w:p>
            <w:pPr>
              <w:spacing w:after="0"/>
              <w:rPr>
                <w:sz w:val="1"/>
                <w:szCs w:val="1"/>
                <w:color w:val="auto"/>
              </w:rPr>
            </w:pPr>
          </w:p>
        </w:tc>
      </w:tr>
      <w:tr>
        <w:trPr>
          <w:trHeight w:val="244"/>
        </w:trPr>
        <w:tc>
          <w:tcPr>
            <w:tcW w:w="60" w:type="dxa"/>
            <w:vAlign w:val="bottom"/>
            <w:shd w:val="clear" w:color="auto" w:fill="E6E6E6"/>
          </w:tcPr>
          <w:p>
            <w:pPr>
              <w:spacing w:after="0"/>
              <w:rPr>
                <w:sz w:val="21"/>
                <w:szCs w:val="21"/>
                <w:color w:val="auto"/>
              </w:rPr>
            </w:pPr>
          </w:p>
        </w:tc>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40" w:type="dxa"/>
            <w:vAlign w:val="bottom"/>
            <w:shd w:val="clear" w:color="auto" w:fill="E6E6E6"/>
          </w:tcPr>
          <w:p>
            <w:pPr>
              <w:spacing w:after="0"/>
              <w:rPr>
                <w:sz w:val="21"/>
                <w:szCs w:val="21"/>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22,032</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27,014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Goodwill</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 of use assets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w:t>
            </w: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2,237</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3,146</w:t>
            </w:r>
          </w:p>
        </w:tc>
        <w:tc>
          <w:tcPr>
            <w:tcW w:w="0" w:type="dxa"/>
            <w:vAlign w:val="bottom"/>
          </w:tcPr>
          <w:p>
            <w:pPr>
              <w:spacing w:after="0"/>
              <w:rPr>
                <w:sz w:val="1"/>
                <w:szCs w:val="1"/>
                <w:color w:val="auto"/>
              </w:rPr>
            </w:pPr>
          </w:p>
        </w:tc>
      </w:tr>
      <w:tr>
        <w:trPr>
          <w:trHeight w:val="261"/>
        </w:trPr>
        <w:tc>
          <w:tcPr>
            <w:tcW w:w="60" w:type="dxa"/>
            <w:vAlign w:val="bottom"/>
            <w:tcBorders>
              <w:bottom w:val="single" w:sz="8" w:color="E6E6E6"/>
            </w:tcBorders>
          </w:tcPr>
          <w:p>
            <w:pPr>
              <w:spacing w:after="0"/>
              <w:rPr>
                <w:sz w:val="22"/>
                <w:szCs w:val="22"/>
                <w:color w:val="auto"/>
              </w:rPr>
            </w:pPr>
          </w:p>
        </w:tc>
        <w:tc>
          <w:tcPr>
            <w:tcW w:w="758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5"/>
                <w:szCs w:val="15"/>
                <w:color w:val="auto"/>
              </w:rPr>
              <w:t>Deferred income tax asset</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0" w:type="dxa"/>
            <w:vAlign w:val="bottom"/>
          </w:tcPr>
          <w:p>
            <w:pPr>
              <w:spacing w:after="0"/>
              <w:rPr>
                <w:sz w:val="1"/>
                <w:szCs w:val="1"/>
                <w:color w:val="auto"/>
              </w:rPr>
            </w:pPr>
          </w:p>
        </w:tc>
      </w:tr>
      <w:tr>
        <w:trPr>
          <w:trHeight w:val="260"/>
        </w:trPr>
        <w:tc>
          <w:tcPr>
            <w:tcW w:w="60" w:type="dxa"/>
            <w:vAlign w:val="bottom"/>
            <w:shd w:val="clear" w:color="auto" w:fill="E6E6E6"/>
          </w:tcPr>
          <w:p>
            <w:pPr>
              <w:spacing w:after="0"/>
              <w:rPr>
                <w:sz w:val="22"/>
                <w:szCs w:val="22"/>
                <w:color w:val="auto"/>
              </w:rPr>
            </w:pPr>
          </w:p>
        </w:tc>
        <w:tc>
          <w:tcPr>
            <w:tcW w:w="7560" w:type="dxa"/>
            <w:vAlign w:val="bottom"/>
            <w:shd w:val="clear" w:color="auto" w:fill="E6E6E6"/>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 w:type="dxa"/>
            <w:vAlign w:val="bottom"/>
            <w:shd w:val="clear" w:color="auto" w:fill="E6E6E6"/>
          </w:tcPr>
          <w:p>
            <w:pPr>
              <w:spacing w:after="0"/>
              <w:rPr>
                <w:sz w:val="22"/>
                <w:szCs w:val="22"/>
                <w:color w:val="auto"/>
              </w:rPr>
            </w:pPr>
          </w:p>
        </w:tc>
        <w:tc>
          <w:tcPr>
            <w:tcW w:w="340" w:type="dxa"/>
            <w:vAlign w:val="bottom"/>
            <w:tcBorders>
              <w:bottom w:val="single" w:sz="8" w:color="auto"/>
            </w:tcBorders>
            <w:shd w:val="clear" w:color="auto" w:fill="E6E6E6"/>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151,500</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tcBorders>
              <w:bottom w:val="single" w:sz="8" w:color="auto"/>
            </w:tcBorders>
            <w:shd w:val="clear" w:color="auto" w:fill="E6E6E6"/>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155,081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8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7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756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560" w:type="dxa"/>
            <w:vAlign w:val="bottom"/>
            <w:gridSpan w:val="3"/>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4,316</w:t>
            </w:r>
          </w:p>
        </w:tc>
        <w:tc>
          <w:tcPr>
            <w:tcW w:w="0" w:type="dxa"/>
            <w:vAlign w:val="bottom"/>
          </w:tcPr>
          <w:p>
            <w:pPr>
              <w:spacing w:after="0"/>
              <w:rPr>
                <w:sz w:val="1"/>
                <w:szCs w:val="1"/>
                <w:color w:val="auto"/>
              </w:rPr>
            </w:pPr>
          </w:p>
        </w:tc>
      </w:tr>
      <w:tr>
        <w:trPr>
          <w:trHeight w:val="278"/>
        </w:trPr>
        <w:tc>
          <w:tcPr>
            <w:tcW w:w="60" w:type="dxa"/>
            <w:vAlign w:val="bottom"/>
            <w:shd w:val="clear" w:color="auto" w:fill="E6E6E6"/>
          </w:tcPr>
          <w:p>
            <w:pPr>
              <w:spacing w:after="0"/>
              <w:rPr>
                <w:sz w:val="24"/>
                <w:szCs w:val="24"/>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Accrued airtime</w:t>
            </w: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Accrued compensation and employee-related expenses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4,728</w:t>
            </w: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Accrued loss on future firm purchase commitments</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919</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Accrued 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2,134</w:t>
            </w:r>
          </w:p>
        </w:tc>
        <w:tc>
          <w:tcPr>
            <w:tcW w:w="0" w:type="dxa"/>
            <w:vAlign w:val="bottom"/>
          </w:tcPr>
          <w:p>
            <w:pPr>
              <w:spacing w:after="0"/>
              <w:rPr>
                <w:sz w:val="1"/>
                <w:szCs w:val="1"/>
                <w:color w:val="auto"/>
              </w:rPr>
            </w:pPr>
          </w:p>
        </w:tc>
      </w:tr>
      <w:tr>
        <w:trPr>
          <w:trHeight w:val="295"/>
        </w:trPr>
        <w:tc>
          <w:tcPr>
            <w:tcW w:w="60" w:type="dxa"/>
            <w:vAlign w:val="bottom"/>
            <w:shd w:val="clear" w:color="auto" w:fill="E6E6E6"/>
          </w:tcPr>
          <w:p>
            <w:pPr>
              <w:spacing w:after="0"/>
              <w:rPr>
                <w:sz w:val="24"/>
                <w:szCs w:val="24"/>
                <w:color w:val="auto"/>
              </w:rPr>
            </w:pPr>
          </w:p>
        </w:tc>
        <w:tc>
          <w:tcPr>
            <w:tcW w:w="756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Accrued product warranty costs</w:t>
            </w: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Deferred revenue</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0" w:type="dxa"/>
            <w:vAlign w:val="bottom"/>
          </w:tcPr>
          <w:p>
            <w:pPr>
              <w:spacing w:after="0"/>
              <w:rPr>
                <w:sz w:val="1"/>
                <w:szCs w:val="1"/>
                <w:color w:val="auto"/>
              </w:rPr>
            </w:pPr>
          </w:p>
        </w:tc>
      </w:tr>
      <w:tr>
        <w:trPr>
          <w:trHeight w:val="262"/>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Current operating lease liability</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261"/>
        </w:trPr>
        <w:tc>
          <w:tcPr>
            <w:tcW w:w="60" w:type="dxa"/>
            <w:vAlign w:val="bottom"/>
            <w:tcBorders>
              <w:bottom w:val="single" w:sz="8" w:color="E6E6E6"/>
            </w:tcBorders>
          </w:tcPr>
          <w:p>
            <w:pPr>
              <w:spacing w:after="0"/>
              <w:rPr>
                <w:sz w:val="22"/>
                <w:szCs w:val="22"/>
                <w:color w:val="auto"/>
              </w:rPr>
            </w:pPr>
          </w:p>
        </w:tc>
        <w:tc>
          <w:tcPr>
            <w:tcW w:w="758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5"/>
                <w:szCs w:val="15"/>
                <w:color w:val="auto"/>
              </w:rPr>
              <w:t>Liability for uncertain tax positions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0" w:type="dxa"/>
            <w:vAlign w:val="bottom"/>
          </w:tcPr>
          <w:p>
            <w:pPr>
              <w:spacing w:after="0"/>
              <w:rPr>
                <w:sz w:val="1"/>
                <w:szCs w:val="1"/>
                <w:color w:val="auto"/>
              </w:rPr>
            </w:pPr>
          </w:p>
        </w:tc>
      </w:tr>
      <w:tr>
        <w:trPr>
          <w:trHeight w:val="258"/>
        </w:trPr>
        <w:tc>
          <w:tcPr>
            <w:tcW w:w="60" w:type="dxa"/>
            <w:vAlign w:val="bottom"/>
            <w:shd w:val="clear" w:color="auto" w:fill="E6E6E6"/>
          </w:tcPr>
          <w:p>
            <w:pPr>
              <w:spacing w:after="0"/>
              <w:rPr>
                <w:sz w:val="22"/>
                <w:szCs w:val="22"/>
                <w:color w:val="auto"/>
              </w:rPr>
            </w:pPr>
          </w:p>
        </w:tc>
        <w:tc>
          <w:tcPr>
            <w:tcW w:w="7560" w:type="dxa"/>
            <w:vAlign w:val="bottom"/>
            <w:shd w:val="clear" w:color="auto" w:fill="E6E6E6"/>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shd w:val="clear" w:color="auto" w:fill="E6E6E6"/>
          </w:tcPr>
          <w:p>
            <w:pPr>
              <w:spacing w:after="0"/>
              <w:rPr>
                <w:sz w:val="22"/>
                <w:szCs w:val="22"/>
                <w:color w:val="auto"/>
              </w:rPr>
            </w:pPr>
          </w:p>
        </w:tc>
        <w:tc>
          <w:tcPr>
            <w:tcW w:w="340" w:type="dxa"/>
            <w:vAlign w:val="bottom"/>
            <w:tcBorders>
              <w:bottom w:val="single" w:sz="8" w:color="auto"/>
            </w:tcBorders>
            <w:shd w:val="clear" w:color="auto" w:fill="E6E6E6"/>
          </w:tcPr>
          <w:p>
            <w:pPr>
              <w:spacing w:after="0"/>
              <w:rPr>
                <w:sz w:val="22"/>
                <w:szCs w:val="22"/>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16,670</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15,872</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operating lease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0" w:type="dxa"/>
            <w:vAlign w:val="bottom"/>
          </w:tcPr>
          <w:p>
            <w:pPr>
              <w:spacing w:after="0"/>
              <w:rPr>
                <w:sz w:val="1"/>
                <w:szCs w:val="1"/>
                <w:color w:val="auto"/>
              </w:rPr>
            </w:pPr>
          </w:p>
        </w:tc>
      </w:tr>
      <w:tr>
        <w:trPr>
          <w:trHeight w:val="243"/>
        </w:trPr>
        <w:tc>
          <w:tcPr>
            <w:tcW w:w="60" w:type="dxa"/>
            <w:vAlign w:val="bottom"/>
            <w:shd w:val="clear" w:color="auto" w:fill="E6E6E6"/>
          </w:tcPr>
          <w:p>
            <w:pPr>
              <w:spacing w:after="0"/>
              <w:rPr>
                <w:sz w:val="21"/>
                <w:szCs w:val="21"/>
                <w:color w:val="auto"/>
              </w:rPr>
            </w:pPr>
          </w:p>
        </w:tc>
        <w:tc>
          <w:tcPr>
            <w:tcW w:w="75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Deferred income tax liability</w:t>
            </w:r>
          </w:p>
        </w:tc>
        <w:tc>
          <w:tcPr>
            <w:tcW w:w="340" w:type="dxa"/>
            <w:vAlign w:val="bottom"/>
            <w:tcBorders>
              <w:bottom w:val="single" w:sz="8" w:color="auto"/>
            </w:tcBorders>
            <w:shd w:val="clear" w:color="auto" w:fill="E6E6E6"/>
          </w:tcPr>
          <w:p>
            <w:pPr>
              <w:spacing w:after="0"/>
              <w:rPr>
                <w:sz w:val="21"/>
                <w:szCs w:val="21"/>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480" w:type="dxa"/>
            <w:vAlign w:val="bottom"/>
            <w:tcBorders>
              <w:bottom w:val="single" w:sz="8" w:color="auto"/>
            </w:tcBorders>
            <w:shd w:val="clear" w:color="auto" w:fill="E6E6E6"/>
          </w:tcPr>
          <w:p>
            <w:pPr>
              <w:spacing w:after="0"/>
              <w:rPr>
                <w:sz w:val="21"/>
                <w:szCs w:val="21"/>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7580" w:type="dxa"/>
            <w:vAlign w:val="bottom"/>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34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20,516</w:t>
            </w:r>
          </w:p>
        </w:tc>
        <w:tc>
          <w:tcPr>
            <w:tcW w:w="560" w:type="dxa"/>
            <w:vAlign w:val="bottom"/>
            <w:gridSpan w:val="3"/>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16,456</w:t>
            </w:r>
          </w:p>
        </w:tc>
        <w:tc>
          <w:tcPr>
            <w:tcW w:w="0" w:type="dxa"/>
            <w:vAlign w:val="bottom"/>
          </w:tcPr>
          <w:p>
            <w:pPr>
              <w:spacing w:after="0"/>
              <w:rPr>
                <w:sz w:val="1"/>
                <w:szCs w:val="1"/>
                <w:color w:val="auto"/>
              </w:rPr>
            </w:pPr>
          </w:p>
        </w:tc>
      </w:tr>
      <w:tr>
        <w:trPr>
          <w:trHeight w:val="244"/>
        </w:trPr>
        <w:tc>
          <w:tcPr>
            <w:tcW w:w="60" w:type="dxa"/>
            <w:vAlign w:val="bottom"/>
            <w:tcBorders>
              <w:top w:val="single" w:sz="8" w:color="E6E6E6"/>
            </w:tcBorders>
            <w:shd w:val="clear" w:color="auto" w:fill="E6E6E6"/>
          </w:tcPr>
          <w:p>
            <w:pPr>
              <w:spacing w:after="0"/>
              <w:rPr>
                <w:sz w:val="21"/>
                <w:szCs w:val="21"/>
                <w:color w:val="auto"/>
              </w:rPr>
            </w:pPr>
          </w:p>
        </w:tc>
        <w:tc>
          <w:tcPr>
            <w:tcW w:w="758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Commitments and contingencies (Notes 1, 6, 13 and 14)</w:t>
            </w:r>
          </w:p>
        </w:tc>
        <w:tc>
          <w:tcPr>
            <w:tcW w:w="340" w:type="dxa"/>
            <w:vAlign w:val="bottom"/>
            <w:tcBorders>
              <w:top w:val="single" w:sz="8" w:color="auto"/>
            </w:tcBorders>
            <w:shd w:val="clear" w:color="auto" w:fill="E6E6E6"/>
          </w:tcPr>
          <w:p>
            <w:pPr>
              <w:spacing w:after="0"/>
              <w:rPr>
                <w:sz w:val="21"/>
                <w:szCs w:val="21"/>
                <w:color w:val="auto"/>
              </w:rPr>
            </w:pPr>
          </w:p>
        </w:tc>
        <w:tc>
          <w:tcPr>
            <w:tcW w:w="1100" w:type="dxa"/>
            <w:vAlign w:val="bottom"/>
            <w:tcBorders>
              <w:top w:val="single" w:sz="8" w:color="auto"/>
            </w:tcBorders>
            <w:shd w:val="clear" w:color="auto" w:fill="E6E6E6"/>
          </w:tcPr>
          <w:p>
            <w:pPr>
              <w:spacing w:after="0"/>
              <w:rPr>
                <w:sz w:val="21"/>
                <w:szCs w:val="21"/>
                <w:color w:val="auto"/>
              </w:rPr>
            </w:pP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80" w:type="dxa"/>
            <w:vAlign w:val="bottom"/>
            <w:tcBorders>
              <w:top w:val="single" w:sz="8" w:color="auto"/>
            </w:tcBorders>
            <w:shd w:val="clear" w:color="auto" w:fill="E6E6E6"/>
          </w:tcPr>
          <w:p>
            <w:pPr>
              <w:spacing w:after="0"/>
              <w:rPr>
                <w:sz w:val="21"/>
                <w:szCs w:val="21"/>
                <w:color w:val="auto"/>
              </w:rPr>
            </w:pPr>
          </w:p>
        </w:tc>
        <w:tc>
          <w:tcPr>
            <w:tcW w:w="960" w:type="dxa"/>
            <w:vAlign w:val="bottom"/>
            <w:tcBorders>
              <w:top w:val="single" w:sz="8" w:color="auto"/>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Preferred stock, $0.01 par value. Authorized 1,000,000 shares; none issued</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Common stock, $0.01 par value. Authorized 30,000,000 shares, 21,294,655 and 21,240,525 shares issued at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December 31, 2025 and December 31, 2024, respectively; and 19,511,836 and 19,784,416 shares outstanding at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December 31, 2025 and December 31, 2024, respectively</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58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168,900</w:t>
            </w: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167,287</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5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Accumulated deficit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(12,752)</w:t>
            </w:r>
          </w:p>
        </w:tc>
        <w:tc>
          <w:tcPr>
            <w:tcW w:w="0" w:type="dxa"/>
            <w:vAlign w:val="bottom"/>
          </w:tcPr>
          <w:p>
            <w:pPr>
              <w:spacing w:after="0"/>
              <w:rPr>
                <w:sz w:val="1"/>
                <w:szCs w:val="1"/>
                <w:color w:val="auto"/>
              </w:rPr>
            </w:pPr>
          </w:p>
        </w:tc>
      </w:tr>
      <w:tr>
        <w:trPr>
          <w:trHeight w:val="294"/>
        </w:trPr>
        <w:tc>
          <w:tcPr>
            <w:tcW w:w="60" w:type="dxa"/>
            <w:vAlign w:val="bottom"/>
            <w:shd w:val="clear" w:color="auto" w:fill="E6E6E6"/>
          </w:tcPr>
          <w:p>
            <w:pPr>
              <w:spacing w:after="0"/>
              <w:rPr>
                <w:sz w:val="24"/>
                <w:szCs w:val="24"/>
                <w:color w:val="auto"/>
              </w:rPr>
            </w:pPr>
          </w:p>
        </w:tc>
        <w:tc>
          <w:tcPr>
            <w:tcW w:w="756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(4,161)</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(4,032)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144,817</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150,715</w:t>
            </w:r>
          </w:p>
        </w:tc>
        <w:tc>
          <w:tcPr>
            <w:tcW w:w="0" w:type="dxa"/>
            <w:vAlign w:val="bottom"/>
          </w:tcPr>
          <w:p>
            <w:pPr>
              <w:spacing w:after="0" w:line="20" w:lineRule="exact"/>
              <w:rPr>
                <w:sz w:val="1"/>
                <w:szCs w:val="1"/>
                <w:color w:val="auto"/>
              </w:rPr>
            </w:pPr>
          </w:p>
        </w:tc>
      </w:tr>
      <w:tr>
        <w:trPr>
          <w:trHeight w:val="179"/>
        </w:trPr>
        <w:tc>
          <w:tcPr>
            <w:tcW w:w="6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7560" w:type="dxa"/>
            <w:vAlign w:val="bottom"/>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Less: treasury stock at cost, common stock, 1,782,819 and 1,456,109 shares as of December 31, 2025 and</w:t>
            </w:r>
          </w:p>
        </w:tc>
        <w:tc>
          <w:tcPr>
            <w:tcW w:w="20" w:type="dxa"/>
            <w:vAlign w:val="bottom"/>
            <w:shd w:val="clear" w:color="auto" w:fill="E6E6E6"/>
          </w:tcPr>
          <w:p>
            <w:pPr>
              <w:spacing w:after="0"/>
              <w:rPr>
                <w:sz w:val="22"/>
                <w:szCs w:val="22"/>
                <w:color w:val="auto"/>
              </w:rPr>
            </w:pPr>
          </w:p>
        </w:tc>
        <w:tc>
          <w:tcPr>
            <w:tcW w:w="340" w:type="dxa"/>
            <w:vAlign w:val="bottom"/>
            <w:shd w:val="clear" w:color="auto" w:fill="E6E6E6"/>
          </w:tcPr>
          <w:p>
            <w:pPr>
              <w:spacing w:after="0"/>
              <w:rPr>
                <w:sz w:val="22"/>
                <w:szCs w:val="22"/>
                <w:color w:val="auto"/>
              </w:rPr>
            </w:pPr>
          </w:p>
        </w:tc>
        <w:tc>
          <w:tcPr>
            <w:tcW w:w="11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0" w:type="dxa"/>
            <w:vAlign w:val="bottom"/>
            <w:shd w:val="clear" w:color="auto" w:fill="E6E6E6"/>
          </w:tcPr>
          <w:p>
            <w:pPr>
              <w:spacing w:after="0"/>
              <w:rPr>
                <w:sz w:val="19"/>
                <w:szCs w:val="19"/>
                <w:color w:val="auto"/>
              </w:rPr>
            </w:pPr>
          </w:p>
        </w:tc>
        <w:tc>
          <w:tcPr>
            <w:tcW w:w="7560" w:type="dxa"/>
            <w:vAlign w:val="bottom"/>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December 31, 2024, respectively</w:t>
            </w:r>
          </w:p>
        </w:tc>
        <w:tc>
          <w:tcPr>
            <w:tcW w:w="20" w:type="dxa"/>
            <w:vAlign w:val="bottom"/>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(13,833)</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480" w:type="dxa"/>
            <w:vAlign w:val="bottom"/>
            <w:tcBorders>
              <w:bottom w:val="single" w:sz="8" w:color="auto"/>
            </w:tcBorders>
            <w:shd w:val="clear" w:color="auto" w:fill="E6E6E6"/>
          </w:tcPr>
          <w:p>
            <w:pPr>
              <w:spacing w:after="0"/>
              <w:rPr>
                <w:sz w:val="19"/>
                <w:szCs w:val="19"/>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(12,090)</w:t>
            </w:r>
          </w:p>
        </w:tc>
        <w:tc>
          <w:tcPr>
            <w:tcW w:w="0" w:type="dxa"/>
            <w:vAlign w:val="bottom"/>
          </w:tcPr>
          <w:p>
            <w:pPr>
              <w:spacing w:after="0"/>
              <w:rPr>
                <w:sz w:val="1"/>
                <w:szCs w:val="1"/>
                <w:color w:val="auto"/>
              </w:rPr>
            </w:pPr>
          </w:p>
        </w:tc>
      </w:tr>
      <w:tr>
        <w:trPr>
          <w:trHeight w:val="260"/>
        </w:trPr>
        <w:tc>
          <w:tcPr>
            <w:tcW w:w="60" w:type="dxa"/>
            <w:vAlign w:val="bottom"/>
            <w:tcBorders>
              <w:bottom w:val="single" w:sz="8" w:color="E6E6E6"/>
            </w:tcBorders>
          </w:tcPr>
          <w:p>
            <w:pPr>
              <w:spacing w:after="0"/>
              <w:rPr>
                <w:sz w:val="22"/>
                <w:szCs w:val="22"/>
                <w:color w:val="auto"/>
              </w:rPr>
            </w:pPr>
          </w:p>
        </w:tc>
        <w:tc>
          <w:tcPr>
            <w:tcW w:w="7580" w:type="dxa"/>
            <w:vAlign w:val="bottom"/>
            <w:tcBorders>
              <w:bottom w:val="single" w:sz="8" w:color="E6E6E6"/>
            </w:tcBorders>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130,984</w:t>
            </w:r>
          </w:p>
        </w:tc>
        <w:tc>
          <w:tcPr>
            <w:tcW w:w="60" w:type="dxa"/>
            <w:vAlign w:val="bottom"/>
            <w:tcBorders>
              <w:bottom w:val="single" w:sz="8" w:color="E6E6E6"/>
            </w:tcBorders>
          </w:tcPr>
          <w:p>
            <w:pPr>
              <w:spacing w:after="0"/>
              <w:rPr>
                <w:sz w:val="22"/>
                <w:szCs w:val="22"/>
                <w:color w:val="auto"/>
              </w:rPr>
            </w:pPr>
          </w:p>
        </w:tc>
        <w:tc>
          <w:tcPr>
            <w:tcW w:w="20" w:type="dxa"/>
            <w:vAlign w:val="bottom"/>
            <w:tcBorders>
              <w:bottom w:val="single" w:sz="8" w:color="E6E6E6"/>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138,625</w:t>
            </w:r>
          </w:p>
        </w:tc>
        <w:tc>
          <w:tcPr>
            <w:tcW w:w="0" w:type="dxa"/>
            <w:vAlign w:val="bottom"/>
          </w:tcPr>
          <w:p>
            <w:pPr>
              <w:spacing w:after="0"/>
              <w:rPr>
                <w:sz w:val="1"/>
                <w:szCs w:val="1"/>
                <w:color w:val="auto"/>
              </w:rPr>
            </w:pPr>
          </w:p>
        </w:tc>
      </w:tr>
      <w:tr>
        <w:trPr>
          <w:trHeight w:val="331"/>
        </w:trPr>
        <w:tc>
          <w:tcPr>
            <w:tcW w:w="60" w:type="dxa"/>
            <w:vAlign w:val="bottom"/>
            <w:shd w:val="clear" w:color="auto" w:fill="E6E6E6"/>
          </w:tcPr>
          <w:p>
            <w:pPr>
              <w:spacing w:after="0"/>
              <w:rPr>
                <w:sz w:val="24"/>
                <w:szCs w:val="24"/>
                <w:color w:val="auto"/>
              </w:rPr>
            </w:pPr>
          </w:p>
        </w:tc>
        <w:tc>
          <w:tcPr>
            <w:tcW w:w="7560" w:type="dxa"/>
            <w:vAlign w:val="bottom"/>
            <w:shd w:val="clear" w:color="auto" w:fill="E6E6E6"/>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20" w:type="dxa"/>
            <w:vAlign w:val="bottom"/>
            <w:tcBorders>
              <w:bottom w:val="single" w:sz="8" w:color="auto"/>
            </w:tcBorders>
            <w:shd w:val="clear" w:color="auto" w:fill="E6E6E6"/>
          </w:tcPr>
          <w:p>
            <w:pPr>
              <w:spacing w:after="0"/>
              <w:rPr>
                <w:sz w:val="24"/>
                <w:szCs w:val="24"/>
                <w:color w:val="auto"/>
              </w:rPr>
            </w:pPr>
          </w:p>
        </w:tc>
        <w:tc>
          <w:tcPr>
            <w:tcW w:w="340" w:type="dxa"/>
            <w:vAlign w:val="bottom"/>
            <w:tcBorders>
              <w:bottom w:val="single" w:sz="8" w:color="auto"/>
            </w:tcBorders>
            <w:shd w:val="clear" w:color="auto" w:fill="E6E6E6"/>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151,500</w:t>
            </w:r>
          </w:p>
        </w:tc>
        <w:tc>
          <w:tcPr>
            <w:tcW w:w="60" w:type="dxa"/>
            <w:vAlign w:val="bottom"/>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155,081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-2411730</wp:posOffset>
                </wp:positionV>
                <wp:extent cx="484441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441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89.8999pt" to="381.55pt,-189.8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4845685</wp:posOffset>
                </wp:positionH>
                <wp:positionV relativeFrom="paragraph">
                  <wp:posOffset>-2406015</wp:posOffset>
                </wp:positionV>
                <wp:extent cx="9188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55pt,-189.4499pt" to="453.9pt,-189.4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5810250</wp:posOffset>
                </wp:positionH>
                <wp:positionV relativeFrom="paragraph">
                  <wp:posOffset>-2406015</wp:posOffset>
                </wp:positionV>
                <wp:extent cx="91884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189.4499pt" to="529.85pt,-189.4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4845685</wp:posOffset>
                </wp:positionH>
                <wp:positionV relativeFrom="paragraph">
                  <wp:posOffset>-870585</wp:posOffset>
                </wp:positionV>
                <wp:extent cx="91884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55pt,-68.5499pt" to="453.9pt,-68.54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5810250</wp:posOffset>
                </wp:positionH>
                <wp:positionV relativeFrom="paragraph">
                  <wp:posOffset>-870585</wp:posOffset>
                </wp:positionV>
                <wp:extent cx="91884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68.5499pt" to="529.85pt,-68.5499pt" o:allowincell="f" strokecolor="#FFFFFF" strokeweight="0.0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0" w:orient="portrait"/>
          <w:cols w:equalWidth="0" w:num="1">
            <w:col w:w="10600"/>
          </w:cols>
          <w:pgMar w:left="640" w:top="945" w:right="640" w:bottom="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25"/>
        </w:trPr>
        <w:tc>
          <w:tcPr>
            <w:tcW w:w="60" w:type="dxa"/>
            <w:vAlign w:val="bottom"/>
            <w:tcBorders>
              <w:bottom w:val="single" w:sz="8" w:color="E6E6E6"/>
            </w:tcBorders>
          </w:tcPr>
          <w:p>
            <w:pPr>
              <w:spacing w:after="0"/>
              <w:rPr>
                <w:sz w:val="19"/>
                <w:szCs w:val="19"/>
                <w:color w:val="auto"/>
              </w:rPr>
            </w:pPr>
          </w:p>
        </w:tc>
        <w:tc>
          <w:tcPr>
            <w:tcW w:w="72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70"/>
        </w:trPr>
        <w:tc>
          <w:tcPr>
            <w:tcW w:w="60" w:type="dxa"/>
            <w:vAlign w:val="bottom"/>
            <w:shd w:val="clear" w:color="auto" w:fill="E6E6E6"/>
          </w:tcPr>
          <w:p>
            <w:pPr>
              <w:spacing w:after="0"/>
              <w:rPr>
                <w:sz w:val="23"/>
                <w:szCs w:val="23"/>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Sales:</w:t>
            </w: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2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Service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98,407</w:t>
            </w:r>
          </w:p>
        </w:tc>
        <w:tc>
          <w:tcPr>
            <w:tcW w:w="20" w:type="dxa"/>
            <w:vAlign w:val="bottom"/>
          </w:tcPr>
          <w:p>
            <w:pPr>
              <w:spacing w:after="0"/>
              <w:rPr>
                <w:sz w:val="24"/>
                <w:szCs w:val="24"/>
                <w:color w:val="auto"/>
              </w:rPr>
            </w:pPr>
          </w:p>
        </w:tc>
        <w:tc>
          <w:tcPr>
            <w:tcW w:w="380" w:type="dxa"/>
            <w:vAlign w:val="bottom"/>
            <w:gridSpan w:val="3"/>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96,446</w:t>
            </w: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Product</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12,602</w:t>
            </w:r>
          </w:p>
        </w:tc>
        <w:tc>
          <w:tcPr>
            <w:tcW w:w="20" w:type="dxa"/>
            <w:vAlign w:val="bottom"/>
            <w:tcBorders>
              <w:bottom w:val="single" w:sz="8" w:color="auto"/>
            </w:tcBorders>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17,382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Net sales</w:t>
            </w:r>
          </w:p>
        </w:tc>
        <w:tc>
          <w:tcPr>
            <w:tcW w:w="300" w:type="dxa"/>
            <w:vAlign w:val="bottom"/>
          </w:tcPr>
          <w:p>
            <w:pPr>
              <w:spacing w:after="0" w:line="20" w:lineRule="exact"/>
              <w:rPr>
                <w:sz w:val="1"/>
                <w:szCs w:val="1"/>
                <w:color w:val="auto"/>
              </w:rPr>
            </w:pPr>
          </w:p>
        </w:tc>
        <w:tc>
          <w:tcPr>
            <w:tcW w:w="960" w:type="dxa"/>
            <w:vAlign w:val="bottom"/>
            <w:vMerge w:val="restart"/>
          </w:tcPr>
          <w:p>
            <w:pPr>
              <w:jc w:val="right"/>
              <w:ind w:right="5"/>
              <w:spacing w:after="0"/>
              <w:rPr>
                <w:sz w:val="20"/>
                <w:szCs w:val="20"/>
                <w:color w:val="auto"/>
              </w:rPr>
            </w:pPr>
            <w:r>
              <w:rPr>
                <w:rFonts w:ascii="Times New Roman" w:cs="Times New Roman" w:eastAsia="Times New Roman" w:hAnsi="Times New Roman"/>
                <w:sz w:val="19"/>
                <w:szCs w:val="19"/>
                <w:color w:val="auto"/>
              </w:rPr>
              <w:t>111,009</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vMerge w:val="restart"/>
          </w:tcPr>
          <w:p>
            <w:pPr>
              <w:jc w:val="right"/>
              <w:ind w:right="4"/>
              <w:spacing w:after="0"/>
              <w:rPr>
                <w:sz w:val="20"/>
                <w:szCs w:val="20"/>
                <w:color w:val="auto"/>
              </w:rPr>
            </w:pPr>
            <w:r>
              <w:rPr>
                <w:rFonts w:ascii="Times New Roman" w:cs="Times New Roman" w:eastAsia="Times New Roman" w:hAnsi="Times New Roman"/>
                <w:sz w:val="19"/>
                <w:szCs w:val="19"/>
                <w:color w:val="auto"/>
              </w:rPr>
              <w:t>113,828</w:t>
            </w: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2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Costs and expenses: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Costs of service sales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63,712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60,002</w:t>
            </w: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Costs of product sales</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19,275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18,607</w:t>
            </w: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8,439</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Sales, marketing and support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20,448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21,013</w:t>
            </w: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16,513</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Long-lived assets impairment charge</w:t>
            </w:r>
          </w:p>
        </w:tc>
        <w:tc>
          <w:tcPr>
            <w:tcW w:w="300" w:type="dxa"/>
            <w:vAlign w:val="bottom"/>
            <w:tcBorders>
              <w:bottom w:val="single" w:sz="8" w:color="auto"/>
            </w:tcBorders>
            <w:shd w:val="clear" w:color="auto" w:fill="E6E6E6"/>
          </w:tcPr>
          <w:p>
            <w:pPr>
              <w:spacing w:after="0"/>
              <w:rPr>
                <w:sz w:val="24"/>
                <w:szCs w:val="24"/>
                <w:color w:val="auto"/>
              </w:rPr>
            </w:pPr>
          </w:p>
        </w:tc>
        <w:tc>
          <w:tcPr>
            <w:tcW w:w="980" w:type="dxa"/>
            <w:vAlign w:val="bottom"/>
            <w:tcBorders>
              <w:bottom w:val="single" w:sz="8" w:color="auto"/>
            </w:tcBorders>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1,137</w:t>
            </w:r>
          </w:p>
        </w:tc>
        <w:tc>
          <w:tcPr>
            <w:tcW w:w="0" w:type="dxa"/>
            <w:vAlign w:val="bottom"/>
          </w:tcPr>
          <w:p>
            <w:pPr>
              <w:spacing w:after="0"/>
              <w:rPr>
                <w:sz w:val="1"/>
                <w:szCs w:val="1"/>
                <w:color w:val="auto"/>
              </w:rPr>
            </w:pPr>
          </w:p>
        </w:tc>
      </w:tr>
      <w:tr>
        <w:trPr>
          <w:trHeight w:val="294"/>
        </w:trPr>
        <w:tc>
          <w:tcPr>
            <w:tcW w:w="60" w:type="dxa"/>
            <w:vAlign w:val="bottom"/>
            <w:tcBorders>
              <w:bottom w:val="single" w:sz="8" w:color="E6E6E6"/>
            </w:tcBorders>
          </w:tcPr>
          <w:p>
            <w:pPr>
              <w:spacing w:after="0"/>
              <w:rPr>
                <w:sz w:val="24"/>
                <w:szCs w:val="24"/>
                <w:color w:val="auto"/>
              </w:rPr>
            </w:pPr>
          </w:p>
        </w:tc>
        <w:tc>
          <w:tcPr>
            <w:tcW w:w="7260" w:type="dxa"/>
            <w:vAlign w:val="bottom"/>
            <w:tcBorders>
              <w:bottom w:val="single" w:sz="8" w:color="E6E6E6"/>
            </w:tcBorders>
            <w:gridSpan w:val="2"/>
          </w:tcPr>
          <w:p>
            <w:pPr>
              <w:ind w:left="700"/>
              <w:spacing w:after="0"/>
              <w:rPr>
                <w:sz w:val="20"/>
                <w:szCs w:val="20"/>
                <w:color w:val="auto"/>
              </w:rPr>
            </w:pPr>
            <w:r>
              <w:rPr>
                <w:rFonts w:ascii="Times New Roman" w:cs="Times New Roman" w:eastAsia="Times New Roman" w:hAnsi="Times New Roman"/>
                <w:sz w:val="19"/>
                <w:szCs w:val="19"/>
                <w:color w:val="auto"/>
              </w:rPr>
              <w:t>Total costs and expenses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122,180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125,711</w:t>
            </w:r>
          </w:p>
        </w:tc>
        <w:tc>
          <w:tcPr>
            <w:tcW w:w="0" w:type="dxa"/>
            <w:vAlign w:val="bottom"/>
          </w:tcPr>
          <w:p>
            <w:pPr>
              <w:spacing w:after="0"/>
              <w:rPr>
                <w:sz w:val="1"/>
                <w:szCs w:val="1"/>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7260" w:type="dxa"/>
            <w:vAlign w:val="bottom"/>
            <w:tcBorders>
              <w:top w:val="single" w:sz="8" w:color="E6E6E6"/>
            </w:tcBorders>
            <w:gridSpan w:val="2"/>
            <w:shd w:val="clear" w:color="auto" w:fill="E6E6E6"/>
          </w:tcPr>
          <w:p>
            <w:pPr>
              <w:ind w:left="700"/>
              <w:spacing w:after="0"/>
              <w:rPr>
                <w:sz w:val="20"/>
                <w:szCs w:val="20"/>
                <w:color w:val="auto"/>
              </w:rPr>
            </w:pPr>
            <w:r>
              <w:rPr>
                <w:rFonts w:ascii="Times New Roman" w:cs="Times New Roman" w:eastAsia="Times New Roman" w:hAnsi="Times New Roman"/>
                <w:sz w:val="19"/>
                <w:szCs w:val="19"/>
                <w:color w:val="auto"/>
              </w:rPr>
              <w:t>Loss from operations</w:t>
            </w:r>
          </w:p>
        </w:tc>
        <w:tc>
          <w:tcPr>
            <w:tcW w:w="300" w:type="dxa"/>
            <w:vAlign w:val="bottom"/>
            <w:tcBorders>
              <w:top w:val="single" w:sz="8" w:color="E6E6E6"/>
            </w:tcBorders>
            <w:shd w:val="clear" w:color="auto" w:fill="E6E6E6"/>
          </w:tcPr>
          <w:p>
            <w:pPr>
              <w:spacing w:after="0"/>
              <w:rPr>
                <w:sz w:val="21"/>
                <w:szCs w:val="21"/>
                <w:color w:val="auto"/>
              </w:rPr>
            </w:pP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(11,171)</w:t>
            </w:r>
          </w:p>
        </w:tc>
        <w:tc>
          <w:tcPr>
            <w:tcW w:w="2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tcBorders>
            <w:shd w:val="clear" w:color="auto" w:fill="E6E6E6"/>
          </w:tcPr>
          <w:p>
            <w:pPr>
              <w:spacing w:after="0"/>
              <w:rPr>
                <w:sz w:val="21"/>
                <w:szCs w:val="21"/>
                <w:color w:val="auto"/>
              </w:rPr>
            </w:pPr>
          </w:p>
        </w:tc>
        <w:tc>
          <w:tcPr>
            <w:tcW w:w="9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(11,883)</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Interest income</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3,039</w:t>
            </w: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Interest expense</w:t>
            </w:r>
          </w:p>
        </w:tc>
        <w:tc>
          <w:tcPr>
            <w:tcW w:w="300" w:type="dxa"/>
            <w:vAlign w:val="bottom"/>
            <w:shd w:val="clear" w:color="auto" w:fill="E6E6E6"/>
          </w:tcPr>
          <w:p>
            <w:pPr>
              <w:spacing w:after="0"/>
              <w:rPr>
                <w:sz w:val="24"/>
                <w:szCs w:val="24"/>
                <w:color w:val="auto"/>
              </w:rPr>
            </w:pPr>
          </w:p>
        </w:tc>
        <w:tc>
          <w:tcPr>
            <w:tcW w:w="980" w:type="dxa"/>
            <w:vAlign w:val="bottom"/>
            <w:gridSpan w:val="2"/>
            <w:shd w:val="clear" w:color="auto" w:fill="E6E6E6"/>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315"/>
        </w:trPr>
        <w:tc>
          <w:tcPr>
            <w:tcW w:w="60" w:type="dxa"/>
            <w:vAlign w:val="bottom"/>
            <w:tcBorders>
              <w:bottom w:val="single" w:sz="8" w:color="E6E6E6"/>
            </w:tcBorders>
          </w:tcPr>
          <w:p>
            <w:pPr>
              <w:spacing w:after="0"/>
              <w:rPr>
                <w:sz w:val="24"/>
                <w:szCs w:val="24"/>
                <w:color w:val="auto"/>
              </w:rPr>
            </w:pPr>
          </w:p>
        </w:tc>
        <w:tc>
          <w:tcPr>
            <w:tcW w:w="726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9"/>
                <w:szCs w:val="19"/>
                <w:color w:val="auto"/>
              </w:rPr>
              <w:t>Other income (expense), net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(1,781)</w:t>
            </w:r>
          </w:p>
        </w:tc>
        <w:tc>
          <w:tcPr>
            <w:tcW w:w="0" w:type="dxa"/>
            <w:vAlign w:val="bottom"/>
          </w:tcPr>
          <w:p>
            <w:pPr>
              <w:spacing w:after="0"/>
              <w:rPr>
                <w:sz w:val="1"/>
                <w:szCs w:val="1"/>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7260" w:type="dxa"/>
            <w:vAlign w:val="bottom"/>
            <w:tcBorders>
              <w:top w:val="single" w:sz="8" w:color="E6E6E6"/>
            </w:tcBorders>
            <w:gridSpan w:val="2"/>
            <w:shd w:val="clear" w:color="auto" w:fill="E6E6E6"/>
          </w:tcPr>
          <w:p>
            <w:pPr>
              <w:ind w:left="700"/>
              <w:spacing w:after="0"/>
              <w:rPr>
                <w:sz w:val="20"/>
                <w:szCs w:val="20"/>
                <w:color w:val="auto"/>
              </w:rPr>
            </w:pPr>
            <w:r>
              <w:rPr>
                <w:rFonts w:ascii="Times New Roman" w:cs="Times New Roman" w:eastAsia="Times New Roman" w:hAnsi="Times New Roman"/>
                <w:sz w:val="19"/>
                <w:szCs w:val="19"/>
                <w:color w:val="auto"/>
              </w:rPr>
              <w:t>Loss before income tax (benefit) expense</w:t>
            </w:r>
          </w:p>
        </w:tc>
        <w:tc>
          <w:tcPr>
            <w:tcW w:w="300" w:type="dxa"/>
            <w:vAlign w:val="bottom"/>
            <w:tcBorders>
              <w:top w:val="single" w:sz="8" w:color="E6E6E6"/>
            </w:tcBorders>
            <w:shd w:val="clear" w:color="auto" w:fill="E6E6E6"/>
          </w:tcPr>
          <w:p>
            <w:pPr>
              <w:spacing w:after="0"/>
              <w:rPr>
                <w:sz w:val="21"/>
                <w:szCs w:val="21"/>
                <w:color w:val="auto"/>
              </w:rPr>
            </w:pP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(7,514)</w:t>
            </w:r>
          </w:p>
        </w:tc>
        <w:tc>
          <w:tcPr>
            <w:tcW w:w="2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tcBorders>
            <w:shd w:val="clear" w:color="auto" w:fill="E6E6E6"/>
          </w:tcPr>
          <w:p>
            <w:pPr>
              <w:spacing w:after="0"/>
              <w:rPr>
                <w:sz w:val="21"/>
                <w:szCs w:val="21"/>
                <w:color w:val="auto"/>
              </w:rPr>
            </w:pPr>
          </w:p>
        </w:tc>
        <w:tc>
          <w:tcPr>
            <w:tcW w:w="9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(10,627)</w:t>
            </w:r>
          </w:p>
        </w:tc>
        <w:tc>
          <w:tcPr>
            <w:tcW w:w="0" w:type="dxa"/>
            <w:vAlign w:val="bottom"/>
          </w:tcPr>
          <w:p>
            <w:pPr>
              <w:spacing w:after="0"/>
              <w:rPr>
                <w:sz w:val="1"/>
                <w:szCs w:val="1"/>
                <w:color w:val="auto"/>
              </w:rPr>
            </w:pPr>
          </w:p>
        </w:tc>
      </w:tr>
      <w:tr>
        <w:trPr>
          <w:trHeight w:val="315"/>
        </w:trPr>
        <w:tc>
          <w:tcPr>
            <w:tcW w:w="60" w:type="dxa"/>
            <w:vAlign w:val="bottom"/>
            <w:tcBorders>
              <w:bottom w:val="single" w:sz="8" w:color="E6E6E6"/>
            </w:tcBorders>
          </w:tcPr>
          <w:p>
            <w:pPr>
              <w:spacing w:after="0"/>
              <w:rPr>
                <w:sz w:val="24"/>
                <w:szCs w:val="24"/>
                <w:color w:val="auto"/>
              </w:rPr>
            </w:pPr>
          </w:p>
        </w:tc>
        <w:tc>
          <w:tcPr>
            <w:tcW w:w="726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9"/>
                <w:szCs w:val="19"/>
                <w:color w:val="auto"/>
              </w:rPr>
              <w:t>Income tax (benefit) expense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421</w:t>
            </w:r>
          </w:p>
        </w:tc>
        <w:tc>
          <w:tcPr>
            <w:tcW w:w="0" w:type="dxa"/>
            <w:vAlign w:val="bottom"/>
          </w:tcPr>
          <w:p>
            <w:pPr>
              <w:spacing w:after="0"/>
              <w:rPr>
                <w:sz w:val="1"/>
                <w:szCs w:val="1"/>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7260" w:type="dxa"/>
            <w:vAlign w:val="bottom"/>
            <w:tcBorders>
              <w:top w:val="single" w:sz="8" w:color="E6E6E6"/>
            </w:tcBorders>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b w:val="1"/>
                <w:bCs w:val="1"/>
                <w:color w:val="auto"/>
              </w:rPr>
              <w:t>Net loss</w:t>
            </w:r>
          </w:p>
        </w:tc>
        <w:tc>
          <w:tcPr>
            <w:tcW w:w="300" w:type="dxa"/>
            <w:vAlign w:val="bottom"/>
            <w:tcBorders>
              <w:top w:val="single" w:sz="8" w:color="E6E6E6"/>
            </w:tcBorders>
            <w:shd w:val="clear" w:color="auto" w:fill="E6E6E6"/>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(7,383)</w:t>
            </w:r>
          </w:p>
        </w:tc>
        <w:tc>
          <w:tcPr>
            <w:tcW w:w="20" w:type="dxa"/>
            <w:vAlign w:val="bottom"/>
            <w:tcBorders>
              <w:top w:val="single" w:sz="8" w:color="E6E6E6"/>
            </w:tcBorders>
            <w:shd w:val="clear" w:color="auto" w:fill="E6E6E6"/>
          </w:tcPr>
          <w:p>
            <w:pPr>
              <w:spacing w:after="0"/>
              <w:rPr>
                <w:sz w:val="21"/>
                <w:szCs w:val="21"/>
                <w:color w:val="auto"/>
              </w:rPr>
            </w:pPr>
          </w:p>
        </w:tc>
        <w:tc>
          <w:tcPr>
            <w:tcW w:w="380" w:type="dxa"/>
            <w:vAlign w:val="bottom"/>
            <w:tcBorders>
              <w:top w:val="single" w:sz="8" w:color="E6E6E6"/>
            </w:tcBorders>
            <w:gridSpan w:val="3"/>
            <w:shd w:val="clear" w:color="auto" w:fill="E6E6E6"/>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(11,048)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auto"/>
              </w:rPr>
              <w:t>Net loss per common share</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60" w:type="dxa"/>
            <w:vAlign w:val="bottom"/>
          </w:tcPr>
          <w:p>
            <w:pPr>
              <w:spacing w:after="0"/>
              <w:rPr>
                <w:sz w:val="24"/>
                <w:szCs w:val="24"/>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Basic</w:t>
            </w:r>
          </w:p>
        </w:tc>
        <w:tc>
          <w:tcPr>
            <w:tcW w:w="3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(0.38)</w:t>
            </w:r>
          </w:p>
        </w:tc>
        <w:tc>
          <w:tcPr>
            <w:tcW w:w="20" w:type="dxa"/>
            <w:vAlign w:val="bottom"/>
          </w:tcPr>
          <w:p>
            <w:pPr>
              <w:spacing w:after="0"/>
              <w:rPr>
                <w:sz w:val="24"/>
                <w:szCs w:val="24"/>
                <w:color w:val="auto"/>
              </w:rPr>
            </w:pPr>
          </w:p>
        </w:tc>
        <w:tc>
          <w:tcPr>
            <w:tcW w:w="38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(0.57)</w:t>
            </w:r>
          </w:p>
        </w:tc>
        <w:tc>
          <w:tcPr>
            <w:tcW w:w="0" w:type="dxa"/>
            <w:vAlign w:val="bottom"/>
          </w:tcPr>
          <w:p>
            <w:pPr>
              <w:spacing w:after="0"/>
              <w:rPr>
                <w:sz w:val="1"/>
                <w:szCs w:val="1"/>
                <w:color w:val="auto"/>
              </w:rPr>
            </w:pPr>
          </w:p>
        </w:tc>
      </w:tr>
      <w:tr>
        <w:trPr>
          <w:trHeight w:val="210"/>
        </w:trPr>
        <w:tc>
          <w:tcPr>
            <w:tcW w:w="60" w:type="dxa"/>
            <w:vAlign w:val="bottom"/>
            <w:tcBorders>
              <w:top w:val="single" w:sz="8" w:color="E6E6E6"/>
            </w:tcBorders>
            <w:shd w:val="clear" w:color="auto" w:fill="E6E6E6"/>
          </w:tcPr>
          <w:p>
            <w:pPr>
              <w:spacing w:after="0"/>
              <w:rPr>
                <w:sz w:val="18"/>
                <w:szCs w:val="18"/>
                <w:color w:val="auto"/>
              </w:rPr>
            </w:pPr>
          </w:p>
        </w:tc>
        <w:tc>
          <w:tcPr>
            <w:tcW w:w="7260" w:type="dxa"/>
            <w:vAlign w:val="bottom"/>
            <w:tcBorders>
              <w:top w:val="single" w:sz="8" w:color="E6E6E6"/>
            </w:tcBorders>
            <w:gridSpan w:val="2"/>
            <w:shd w:val="clear" w:color="auto" w:fill="E6E6E6"/>
          </w:tcPr>
          <w:p>
            <w:pPr>
              <w:ind w:left="340"/>
              <w:spacing w:after="0" w:line="210" w:lineRule="exact"/>
              <w:rPr>
                <w:sz w:val="20"/>
                <w:szCs w:val="20"/>
                <w:color w:val="auto"/>
              </w:rPr>
            </w:pPr>
            <w:r>
              <w:rPr>
                <w:rFonts w:ascii="Times New Roman" w:cs="Times New Roman" w:eastAsia="Times New Roman" w:hAnsi="Times New Roman"/>
                <w:sz w:val="19"/>
                <w:szCs w:val="19"/>
                <w:color w:val="auto"/>
              </w:rPr>
              <w:t>Diluted</w:t>
            </w:r>
          </w:p>
        </w:tc>
        <w:tc>
          <w:tcPr>
            <w:tcW w:w="300" w:type="dxa"/>
            <w:vAlign w:val="bottom"/>
            <w:tcBorders>
              <w:top w:val="single" w:sz="8" w:color="auto"/>
              <w:bottom w:val="single" w:sz="8" w:color="auto"/>
            </w:tcBorders>
            <w:shd w:val="clear" w:color="auto" w:fill="E6E6E6"/>
          </w:tcPr>
          <w:p>
            <w:pPr>
              <w:jc w:val="right"/>
              <w:ind w:right="43"/>
              <w:spacing w:after="0" w:line="210" w:lineRule="exact"/>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top w:val="single" w:sz="8" w:color="auto"/>
              <w:bottom w:val="single" w:sz="8" w:color="auto"/>
            </w:tcBorders>
            <w:shd w:val="clear" w:color="auto" w:fill="E6E6E6"/>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(0.38)</w:t>
            </w:r>
          </w:p>
        </w:tc>
        <w:tc>
          <w:tcPr>
            <w:tcW w:w="20" w:type="dxa"/>
            <w:vAlign w:val="bottom"/>
            <w:tcBorders>
              <w:top w:val="single" w:sz="8" w:color="E6E6E6"/>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63"/>
              <w:spacing w:after="0" w:line="210" w:lineRule="exact"/>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top w:val="single" w:sz="8" w:color="auto"/>
              <w:bottom w:val="single" w:sz="8" w:color="auto"/>
            </w:tcBorders>
            <w:shd w:val="clear" w:color="auto" w:fill="E6E6E6"/>
          </w:tcPr>
          <w:p>
            <w:pPr>
              <w:jc w:val="right"/>
              <w:spacing w:after="0" w:line="210" w:lineRule="exact"/>
              <w:rPr>
                <w:sz w:val="20"/>
                <w:szCs w:val="20"/>
                <w:color w:val="auto"/>
              </w:rPr>
            </w:pPr>
            <w:r>
              <w:rPr>
                <w:rFonts w:ascii="Times New Roman" w:cs="Times New Roman" w:eastAsia="Times New Roman" w:hAnsi="Times New Roman"/>
                <w:sz w:val="19"/>
                <w:szCs w:val="19"/>
                <w:b w:val="1"/>
                <w:bCs w:val="1"/>
                <w:color w:val="auto"/>
              </w:rPr>
              <w:t>(0.57)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b w:val="1"/>
                <w:bCs w:val="1"/>
                <w:color w:val="auto"/>
              </w:rPr>
              <w:t>Weighted average number of shares outstanding:</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0" w:type="dxa"/>
            <w:vAlign w:val="bottom"/>
            <w:tcBorders>
              <w:bottom w:val="single" w:sz="8" w:color="E6E6E6"/>
            </w:tcBorders>
          </w:tcPr>
          <w:p>
            <w:pPr>
              <w:spacing w:after="0"/>
              <w:rPr>
                <w:sz w:val="24"/>
                <w:szCs w:val="24"/>
                <w:color w:val="auto"/>
              </w:rPr>
            </w:pPr>
          </w:p>
        </w:tc>
        <w:tc>
          <w:tcPr>
            <w:tcW w:w="726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9"/>
                <w:szCs w:val="19"/>
                <w:color w:val="auto"/>
              </w:rPr>
              <w:t>Basic</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19,398</w:t>
            </w: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19,389</w:t>
            </w:r>
          </w:p>
        </w:tc>
        <w:tc>
          <w:tcPr>
            <w:tcW w:w="0" w:type="dxa"/>
            <w:vAlign w:val="bottom"/>
          </w:tcPr>
          <w:p>
            <w:pPr>
              <w:spacing w:after="0"/>
              <w:rPr>
                <w:sz w:val="1"/>
                <w:szCs w:val="1"/>
                <w:color w:val="auto"/>
              </w:rPr>
            </w:pPr>
          </w:p>
        </w:tc>
      </w:tr>
      <w:tr>
        <w:trPr>
          <w:trHeight w:val="274"/>
        </w:trPr>
        <w:tc>
          <w:tcPr>
            <w:tcW w:w="60" w:type="dxa"/>
            <w:vAlign w:val="bottom"/>
            <w:tcBorders>
              <w:top w:val="single" w:sz="8" w:color="E6E6E6"/>
            </w:tcBorders>
            <w:shd w:val="clear" w:color="auto" w:fill="E6E6E6"/>
          </w:tcPr>
          <w:p>
            <w:pPr>
              <w:spacing w:after="0"/>
              <w:rPr>
                <w:sz w:val="23"/>
                <w:szCs w:val="23"/>
                <w:color w:val="auto"/>
              </w:rPr>
            </w:pPr>
          </w:p>
        </w:tc>
        <w:tc>
          <w:tcPr>
            <w:tcW w:w="7240" w:type="dxa"/>
            <w:vAlign w:val="bottom"/>
            <w:tcBorders>
              <w:top w:val="single" w:sz="8" w:color="E6E6E6"/>
            </w:tcBorders>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Diluted</w:t>
            </w:r>
          </w:p>
        </w:tc>
        <w:tc>
          <w:tcPr>
            <w:tcW w:w="20" w:type="dxa"/>
            <w:vAlign w:val="bottom"/>
            <w:tcBorders>
              <w:top w:val="single" w:sz="8" w:color="E6E6E6"/>
              <w:bottom w:val="single" w:sz="8" w:color="auto"/>
            </w:tcBorders>
            <w:shd w:val="clear" w:color="auto" w:fill="E6E6E6"/>
          </w:tcPr>
          <w:p>
            <w:pPr>
              <w:spacing w:after="0"/>
              <w:rPr>
                <w:sz w:val="23"/>
                <w:szCs w:val="23"/>
                <w:color w:val="auto"/>
              </w:rPr>
            </w:pPr>
          </w:p>
        </w:tc>
        <w:tc>
          <w:tcPr>
            <w:tcW w:w="300" w:type="dxa"/>
            <w:vAlign w:val="bottom"/>
            <w:tcBorders>
              <w:top w:val="single" w:sz="8" w:color="E6E6E6"/>
              <w:bottom w:val="single" w:sz="8" w:color="auto"/>
            </w:tcBorders>
            <w:shd w:val="clear" w:color="auto" w:fill="E6E6E6"/>
          </w:tcPr>
          <w:p>
            <w:pPr>
              <w:spacing w:after="0"/>
              <w:rPr>
                <w:sz w:val="23"/>
                <w:szCs w:val="23"/>
                <w:color w:val="auto"/>
              </w:rPr>
            </w:pPr>
          </w:p>
        </w:tc>
        <w:tc>
          <w:tcPr>
            <w:tcW w:w="96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19,398</w:t>
            </w:r>
          </w:p>
        </w:tc>
        <w:tc>
          <w:tcPr>
            <w:tcW w:w="20" w:type="dxa"/>
            <w:vAlign w:val="bottom"/>
            <w:tcBorders>
              <w:top w:val="single" w:sz="8" w:color="E6E6E6"/>
              <w:bottom w:val="single" w:sz="8" w:color="auto"/>
            </w:tcBorders>
            <w:shd w:val="clear" w:color="auto" w:fill="E6E6E6"/>
          </w:tcPr>
          <w:p>
            <w:pPr>
              <w:spacing w:after="0"/>
              <w:rPr>
                <w:sz w:val="23"/>
                <w:szCs w:val="23"/>
                <w:color w:val="auto"/>
              </w:rPr>
            </w:pPr>
          </w:p>
        </w:tc>
        <w:tc>
          <w:tcPr>
            <w:tcW w:w="40" w:type="dxa"/>
            <w:vAlign w:val="bottom"/>
            <w:tcBorders>
              <w:top w:val="single" w:sz="8" w:color="E6E6E6"/>
            </w:tcBorders>
            <w:shd w:val="clear" w:color="auto" w:fill="E6E6E6"/>
          </w:tcPr>
          <w:p>
            <w:pPr>
              <w:spacing w:after="0"/>
              <w:rPr>
                <w:sz w:val="23"/>
                <w:szCs w:val="23"/>
                <w:color w:val="auto"/>
              </w:rPr>
            </w:pPr>
          </w:p>
        </w:tc>
        <w:tc>
          <w:tcPr>
            <w:tcW w:w="20" w:type="dxa"/>
            <w:vAlign w:val="bottom"/>
            <w:tcBorders>
              <w:top w:val="single" w:sz="8" w:color="E6E6E6"/>
              <w:bottom w:val="single" w:sz="8" w:color="auto"/>
            </w:tcBorders>
            <w:shd w:val="clear" w:color="auto" w:fill="E6E6E6"/>
          </w:tcPr>
          <w:p>
            <w:pPr>
              <w:spacing w:after="0"/>
              <w:rPr>
                <w:sz w:val="23"/>
                <w:szCs w:val="23"/>
                <w:color w:val="auto"/>
              </w:rPr>
            </w:pPr>
          </w:p>
        </w:tc>
        <w:tc>
          <w:tcPr>
            <w:tcW w:w="320" w:type="dxa"/>
            <w:vAlign w:val="bottom"/>
            <w:tcBorders>
              <w:top w:val="single" w:sz="8" w:color="E6E6E6"/>
              <w:bottom w:val="single" w:sz="8" w:color="auto"/>
            </w:tcBorders>
            <w:shd w:val="clear" w:color="auto" w:fill="E6E6E6"/>
          </w:tcPr>
          <w:p>
            <w:pPr>
              <w:spacing w:after="0"/>
              <w:rPr>
                <w:sz w:val="23"/>
                <w:szCs w:val="23"/>
                <w:color w:val="auto"/>
              </w:rPr>
            </w:pP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19,389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-4473575</wp:posOffset>
                </wp:positionV>
                <wp:extent cx="464248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248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52.2499pt" to="366pt,-352.24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4648200</wp:posOffset>
                </wp:positionH>
                <wp:positionV relativeFrom="paragraph">
                  <wp:posOffset>-4467860</wp:posOffset>
                </wp:positionV>
                <wp:extent cx="7988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351.7999pt" to="428.9pt,-351.7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5493385</wp:posOffset>
                </wp:positionH>
                <wp:positionV relativeFrom="paragraph">
                  <wp:posOffset>-4467860</wp:posOffset>
                </wp:positionV>
                <wp:extent cx="7994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55pt,-351.7999pt" to="495.5pt,-351.7999pt" o:allowincell="f" strokecolor="#FFFFFF" strokeweight="0.0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0" w:orient="portrait"/>
          <w:cols w:equalWidth="0" w:num="1">
            <w:col w:w="9920"/>
          </w:cols>
          <w:pgMar w:left="980" w:top="942" w:right="980" w:bottom="0" w:gutter="0" w:footer="0" w:header="0"/>
        </w:sectPr>
      </w:pPr>
    </w:p>
    <w:bookmarkStart w:id="49" w:name="page50"/>
    <w:bookmarkEnd w:id="49"/>
    <w:p>
      <w:pPr>
        <w:jc w:val="center"/>
        <w:spacing w:after="0" w:line="318" w:lineRule="auto"/>
        <w:rPr>
          <w:sz w:val="20"/>
          <w:szCs w:val="20"/>
          <w:color w:val="auto"/>
        </w:rPr>
      </w:pPr>
      <w:r>
        <w:rPr>
          <w:rFonts w:ascii="Times New Roman" w:cs="Times New Roman" w:eastAsia="Times New Roman" w:hAnsi="Times New Roman"/>
          <w:sz w:val="19"/>
          <w:szCs w:val="19"/>
          <w:b w:val="1"/>
          <w:bCs w:val="1"/>
          <w:color w:val="auto"/>
        </w:rPr>
        <w:t>KVH INDUSTRIES, INC. AND SUBSIDIARIES CONSOLIDATED STATEMENTS OF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54"/>
        </w:trPr>
        <w:tc>
          <w:tcPr>
            <w:tcW w:w="706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85"/>
        </w:trPr>
        <w:tc>
          <w:tcPr>
            <w:tcW w:w="70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Net loss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right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(7,383)</w:t>
            </w:r>
          </w:p>
        </w:tc>
        <w:tc>
          <w:tcPr>
            <w:tcW w:w="34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(11,048)</w:t>
            </w:r>
          </w:p>
        </w:tc>
        <w:tc>
          <w:tcPr>
            <w:tcW w:w="0" w:type="dxa"/>
            <w:vAlign w:val="bottom"/>
          </w:tcPr>
          <w:p>
            <w:pPr>
              <w:spacing w:after="0"/>
              <w:rPr>
                <w:sz w:val="1"/>
                <w:szCs w:val="1"/>
                <w:color w:val="auto"/>
              </w:rPr>
            </w:pPr>
          </w:p>
        </w:tc>
      </w:tr>
      <w:tr>
        <w:trPr>
          <w:trHeight w:val="303"/>
        </w:trPr>
        <w:tc>
          <w:tcPr>
            <w:tcW w:w="70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Other comprehensive (loss) income, net of tax:</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060" w:type="dxa"/>
            <w:vAlign w:val="bottom"/>
            <w:tcBorders>
              <w:bottom w:val="single" w:sz="8" w:color="E6E6E6"/>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Foreign currency translation adjustment</w:t>
            </w:r>
          </w:p>
        </w:tc>
        <w:tc>
          <w:tcPr>
            <w:tcW w:w="240" w:type="dxa"/>
            <w:vAlign w:val="bottom"/>
          </w:tcPr>
          <w:p>
            <w:pPr>
              <w:spacing w:after="0"/>
              <w:rPr>
                <w:sz w:val="24"/>
                <w:szCs w:val="24"/>
                <w:color w:val="auto"/>
              </w:rPr>
            </w:pPr>
          </w:p>
        </w:tc>
        <w:tc>
          <w:tcPr>
            <w:tcW w:w="1220" w:type="dxa"/>
            <w:vAlign w:val="bottom"/>
            <w:tcBorders>
              <w:right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340" w:type="dxa"/>
            <w:vAlign w:val="bottom"/>
            <w:tcBorders>
              <w:bottom w:val="single" w:sz="8" w:color="E6E6E6"/>
            </w:tcBorders>
            <w:shd w:val="clear" w:color="auto" w:fill="E6E6E6"/>
          </w:tcPr>
          <w:p>
            <w:pPr>
              <w:spacing w:after="0"/>
              <w:rPr>
                <w:sz w:val="24"/>
                <w:szCs w:val="24"/>
                <w:color w:val="auto"/>
              </w:rPr>
            </w:pPr>
          </w:p>
        </w:tc>
        <w:tc>
          <w:tcPr>
            <w:tcW w:w="106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60"/>
              <w:spacing w:after="0" w:line="263" w:lineRule="exact"/>
              <w:rPr>
                <w:sz w:val="20"/>
                <w:szCs w:val="20"/>
                <w:color w:val="auto"/>
              </w:rPr>
            </w:pPr>
            <w:r>
              <w:rPr>
                <w:rFonts w:ascii="Times New Roman" w:cs="Times New Roman" w:eastAsia="Times New Roman" w:hAnsi="Times New Roman"/>
                <w:sz w:val="19"/>
                <w:szCs w:val="19"/>
                <w:color w:val="auto"/>
              </w:rPr>
              <w:t xml:space="preserve">Other comprehensive (loss) income, net of tax </w:t>
            </w:r>
            <w:r>
              <w:rPr>
                <w:rFonts w:ascii="Times New Roman" w:cs="Times New Roman" w:eastAsia="Times New Roman" w:hAnsi="Times New Roman"/>
                <w:sz w:val="25"/>
                <w:szCs w:val="25"/>
                <w:color w:val="auto"/>
                <w:vertAlign w:val="superscript"/>
              </w:rPr>
              <w:t>(1)</w:t>
            </w:r>
          </w:p>
        </w:tc>
        <w:tc>
          <w:tcPr>
            <w:tcW w:w="2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3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line="20" w:lineRule="exact"/>
              <w:rPr>
                <w:sz w:val="1"/>
                <w:szCs w:val="1"/>
                <w:color w:val="auto"/>
              </w:rPr>
            </w:pPr>
          </w:p>
        </w:tc>
      </w:tr>
      <w:tr>
        <w:trPr>
          <w:trHeight w:val="243"/>
        </w:trPr>
        <w:tc>
          <w:tcPr>
            <w:tcW w:w="7060" w:type="dxa"/>
            <w:vAlign w:val="bottom"/>
            <w:tcBorders>
              <w:bottom w:val="single" w:sz="8" w:color="E6E6E6"/>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70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Total comprehensive loss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right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(7,512)</w:t>
            </w:r>
          </w:p>
        </w:tc>
        <w:tc>
          <w:tcPr>
            <w:tcW w:w="340" w:type="dxa"/>
            <w:vAlign w:val="bottom"/>
            <w:shd w:val="clear" w:color="auto" w:fill="E6E6E6"/>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(10,895)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-1002030</wp:posOffset>
            </wp:positionV>
            <wp:extent cx="6287135" cy="978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extLst>
                    </a:blip>
                    <a:srcRect/>
                    <a:stretch>
                      <a:fillRect/>
                    </a:stretch>
                  </pic:blipFill>
                  <pic:spPr bwMode="auto">
                    <a:xfrm>
                      <a:off x="0" y="0"/>
                      <a:ext cx="6287135" cy="97853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880" w:h="15480" w:orient="portrait"/>
          <w:cols w:equalWidth="0" w:num="1">
            <w:col w:w="9920"/>
          </w:cols>
          <w:pgMar w:left="980" w:top="899" w:right="980" w:bottom="0" w:gutter="0" w:footer="0" w:header="0"/>
        </w:sectPr>
      </w:pPr>
    </w:p>
    <w:bookmarkStart w:id="50" w:name="page51"/>
    <w:bookmarkEnd w:id="50"/>
    <w:p>
      <w:pPr>
        <w:jc w:val="center"/>
        <w:spacing w:after="0" w:line="347" w:lineRule="auto"/>
        <w:rPr>
          <w:sz w:val="20"/>
          <w:szCs w:val="20"/>
          <w:color w:val="auto"/>
        </w:rPr>
      </w:pPr>
      <w:r>
        <w:rPr>
          <w:rFonts w:ascii="Times New Roman" w:cs="Times New Roman" w:eastAsia="Times New Roman" w:hAnsi="Times New Roman"/>
          <w:sz w:val="17"/>
          <w:szCs w:val="17"/>
          <w:b w:val="1"/>
          <w:bCs w:val="1"/>
          <w:color w:val="auto"/>
        </w:rPr>
        <w:t>KVH INDUSTRIES, INC. AND SUBSIDIARIES CONSOLIDATED STATEMENTS OF STOCKHOLDERS’ EQUITY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6"/>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60" w:type="dxa"/>
            <w:vAlign w:val="bottom"/>
            <w:gridSpan w:val="5"/>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144"/>
              <w:spacing w:after="0" w:line="15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tcBorders>
              <w:bottom w:val="single" w:sz="8" w:color="auto"/>
            </w:tcBorders>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124"/>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4"/>
            <w:vMerge w:val="restart"/>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100" w:type="dxa"/>
            <w:vAlign w:val="bottom"/>
            <w:gridSpan w:val="4"/>
            <w:vMerge w:val="restart"/>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60" w:type="dxa"/>
            <w:vAlign w:val="bottom"/>
            <w:tcBorders>
              <w:bottom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1100" w:type="dxa"/>
            <w:vAlign w:val="bottom"/>
            <w:gridSpan w:val="4"/>
            <w:vMerge w:val="continue"/>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40" w:type="dxa"/>
            <w:vAlign w:val="bottom"/>
          </w:tcPr>
          <w:p>
            <w:pPr>
              <w:spacing w:after="0"/>
              <w:rPr>
                <w:sz w:val="19"/>
                <w:szCs w:val="19"/>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9"/>
                <w:szCs w:val="19"/>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367"/>
        </w:trPr>
        <w:tc>
          <w:tcPr>
            <w:tcW w:w="60" w:type="dxa"/>
            <w:vAlign w:val="bottom"/>
            <w:tcBorders>
              <w:top w:val="single" w:sz="8" w:color="E6E6E6"/>
            </w:tcBorders>
            <w:shd w:val="clear" w:color="auto" w:fill="E6E6E6"/>
          </w:tcPr>
          <w:p>
            <w:pPr>
              <w:spacing w:after="0"/>
              <w:rPr>
                <w:sz w:val="24"/>
                <w:szCs w:val="24"/>
                <w:color w:val="auto"/>
              </w:rPr>
            </w:pPr>
          </w:p>
        </w:tc>
        <w:tc>
          <w:tcPr>
            <w:tcW w:w="21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40" w:type="dxa"/>
            <w:vAlign w:val="bottom"/>
            <w:tcBorders>
              <w:top w:val="single" w:sz="8" w:color="E6E6E6"/>
            </w:tcBorders>
            <w:shd w:val="clear" w:color="auto" w:fill="E6E6E6"/>
          </w:tcPr>
          <w:p>
            <w:pPr>
              <w:spacing w:after="0"/>
              <w:rPr>
                <w:sz w:val="24"/>
                <w:szCs w:val="24"/>
                <w:color w:val="auto"/>
              </w:rPr>
            </w:pPr>
          </w:p>
        </w:tc>
        <w:tc>
          <w:tcPr>
            <w:tcW w:w="7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21,067</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211</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165,140</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20" w:type="dxa"/>
            <w:vAlign w:val="bottom"/>
            <w:tcBorders>
              <w:top w:val="single" w:sz="8" w:color="auto"/>
              <w:bottom w:val="single" w:sz="8" w:color="auto"/>
            </w:tcBorders>
            <w:shd w:val="clear" w:color="auto" w:fill="E6E6E6"/>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(1,704)</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40" w:type="dxa"/>
            <w:vAlign w:val="bottom"/>
            <w:tcBorders>
              <w:top w:val="single" w:sz="8" w:color="auto"/>
              <w:bottom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(4,185)</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7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(1,456)</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(12,090)</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shd w:val="clear" w:color="auto" w:fill="E6E6E6"/>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147,372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2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20" w:type="dxa"/>
            <w:vAlign w:val="bottom"/>
            <w:gridSpan w:val="3"/>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40" w:type="dxa"/>
            <w:vAlign w:val="bottom"/>
            <w:gridSpan w:val="3"/>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color w:val="auto"/>
              </w:rPr>
              <w:t>153</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1"/>
                <w:szCs w:val="21"/>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2,027</w:t>
            </w:r>
          </w:p>
        </w:tc>
        <w:tc>
          <w:tcPr>
            <w:tcW w:w="0" w:type="dxa"/>
            <w:vAlign w:val="bottom"/>
          </w:tcPr>
          <w:p>
            <w:pPr>
              <w:spacing w:after="0"/>
              <w:rPr>
                <w:sz w:val="1"/>
                <w:szCs w:val="1"/>
                <w:color w:val="auto"/>
              </w:rPr>
            </w:pPr>
          </w:p>
        </w:tc>
      </w:tr>
      <w:tr>
        <w:trPr>
          <w:trHeight w:val="264"/>
        </w:trPr>
        <w:tc>
          <w:tcPr>
            <w:tcW w:w="60" w:type="dxa"/>
            <w:vAlign w:val="bottom"/>
            <w:shd w:val="clear" w:color="auto" w:fill="E6E6E6"/>
          </w:tcPr>
          <w:p>
            <w:pPr>
              <w:spacing w:after="0"/>
              <w:rPr>
                <w:sz w:val="22"/>
                <w:szCs w:val="22"/>
                <w:color w:val="auto"/>
              </w:rPr>
            </w:pPr>
          </w:p>
        </w:tc>
        <w:tc>
          <w:tcPr>
            <w:tcW w:w="216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Issuance of common stock under</w:t>
            </w:r>
          </w:p>
        </w:tc>
        <w:tc>
          <w:tcPr>
            <w:tcW w:w="4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74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4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0" w:type="dxa"/>
            <w:vAlign w:val="bottom"/>
            <w:shd w:val="clear" w:color="auto" w:fill="E6E6E6"/>
          </w:tcPr>
          <w:p>
            <w:pPr>
              <w:spacing w:after="0"/>
              <w:rPr>
                <w:sz w:val="22"/>
                <w:szCs w:val="22"/>
                <w:color w:val="auto"/>
              </w:rPr>
            </w:pPr>
          </w:p>
        </w:tc>
        <w:tc>
          <w:tcPr>
            <w:tcW w:w="80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6E6E6"/>
          </w:tcPr>
          <w:p>
            <w:pPr>
              <w:spacing w:after="0"/>
              <w:rPr>
                <w:sz w:val="19"/>
                <w:szCs w:val="19"/>
                <w:color w:val="auto"/>
              </w:rPr>
            </w:pPr>
          </w:p>
        </w:tc>
        <w:tc>
          <w:tcPr>
            <w:tcW w:w="216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800" w:type="dxa"/>
            <w:vAlign w:val="bottom"/>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 and</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issuance of restricted stock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awards, net of forfeitures</w:t>
            </w: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0" w:type="dxa"/>
            <w:vAlign w:val="bottom"/>
            <w:tcBorders>
              <w:top w:val="single" w:sz="8" w:color="E6E6E6"/>
            </w:tcBorders>
            <w:shd w:val="clear" w:color="auto" w:fill="E6E6E6"/>
          </w:tcPr>
          <w:p>
            <w:pPr>
              <w:spacing w:after="0"/>
              <w:rPr>
                <w:sz w:val="24"/>
                <w:szCs w:val="24"/>
                <w:color w:val="auto"/>
              </w:rPr>
            </w:pPr>
          </w:p>
        </w:tc>
        <w:tc>
          <w:tcPr>
            <w:tcW w:w="21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40" w:type="dxa"/>
            <w:vAlign w:val="bottom"/>
            <w:tcBorders>
              <w:top w:val="single" w:sz="8" w:color="E6E6E6"/>
            </w:tcBorders>
            <w:shd w:val="clear" w:color="auto" w:fill="E6E6E6"/>
          </w:tcPr>
          <w:p>
            <w:pPr>
              <w:spacing w:after="0"/>
              <w:rPr>
                <w:sz w:val="24"/>
                <w:szCs w:val="24"/>
                <w:color w:val="auto"/>
              </w:rPr>
            </w:pPr>
          </w:p>
        </w:tc>
        <w:tc>
          <w:tcPr>
            <w:tcW w:w="7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21,241</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212</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167,287</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20" w:type="dxa"/>
            <w:vAlign w:val="bottom"/>
            <w:tcBorders>
              <w:top w:val="single" w:sz="8" w:color="auto"/>
              <w:bottom w:val="single" w:sz="8" w:color="auto"/>
            </w:tcBorders>
            <w:shd w:val="clear" w:color="auto" w:fill="E6E6E6"/>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(12,752)</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40" w:type="dxa"/>
            <w:vAlign w:val="bottom"/>
            <w:tcBorders>
              <w:top w:val="single" w:sz="8" w:color="auto"/>
              <w:bottom w:val="single" w:sz="8" w:color="auto"/>
            </w:tcBorders>
            <w:shd w:val="clear" w:color="auto" w:fill="E6E6E6"/>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(4,032)</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7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(1,456)</w:t>
            </w:r>
          </w:p>
        </w:tc>
        <w:tc>
          <w:tcPr>
            <w:tcW w:w="60" w:type="dxa"/>
            <w:vAlign w:val="bottom"/>
            <w:tcBorders>
              <w:top w:val="single" w:sz="8" w:color="auto"/>
            </w:tcBorders>
            <w:shd w:val="clear" w:color="auto" w:fill="E6E6E6"/>
          </w:tcPr>
          <w:p>
            <w:pPr>
              <w:spacing w:after="0"/>
              <w:rPr>
                <w:sz w:val="24"/>
                <w:szCs w:val="24"/>
                <w:color w:val="auto"/>
              </w:rPr>
            </w:pPr>
          </w:p>
        </w:tc>
        <w:tc>
          <w:tcPr>
            <w:tcW w:w="20" w:type="dxa"/>
            <w:vAlign w:val="bottom"/>
            <w:tcBorders>
              <w:top w:val="single" w:sz="8" w:color="auto"/>
            </w:tcBorders>
            <w:shd w:val="clear" w:color="auto" w:fill="E6E6E6"/>
          </w:tcPr>
          <w:p>
            <w:pPr>
              <w:spacing w:after="0"/>
              <w:rPr>
                <w:sz w:val="24"/>
                <w:szCs w:val="24"/>
                <w:color w:val="auto"/>
              </w:rPr>
            </w:pPr>
          </w:p>
        </w:tc>
        <w:tc>
          <w:tcPr>
            <w:tcW w:w="1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(12,090)</w:t>
            </w:r>
          </w:p>
        </w:tc>
        <w:tc>
          <w:tcPr>
            <w:tcW w:w="6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shd w:val="clear" w:color="auto" w:fill="E6E6E6"/>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Borders>
              <w:top w:val="single" w:sz="8" w:color="auto"/>
              <w:bottom w:val="single" w:sz="8" w:color="auto"/>
            </w:tcBorders>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138,625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(7,383)</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(7,383)</w:t>
            </w:r>
          </w:p>
        </w:tc>
        <w:tc>
          <w:tcPr>
            <w:tcW w:w="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2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820" w:type="dxa"/>
            <w:vAlign w:val="bottom"/>
            <w:gridSpan w:val="3"/>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E6E6E6"/>
          </w:tcPr>
          <w:p>
            <w:pPr>
              <w:spacing w:after="0"/>
              <w:rPr>
                <w:sz w:val="21"/>
                <w:szCs w:val="21"/>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40" w:type="dxa"/>
            <w:vAlign w:val="bottom"/>
            <w:gridSpan w:val="3"/>
            <w:shd w:val="clear" w:color="auto" w:fill="E6E6E6"/>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8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0" w:type="dxa"/>
            <w:vAlign w:val="bottom"/>
          </w:tcPr>
          <w:p>
            <w:pPr>
              <w:spacing w:after="0"/>
              <w:rPr>
                <w:sz w:val="1"/>
                <w:szCs w:val="1"/>
                <w:color w:val="auto"/>
              </w:rPr>
            </w:pPr>
          </w:p>
        </w:tc>
      </w:tr>
      <w:tr>
        <w:trPr>
          <w:trHeight w:val="312"/>
        </w:trPr>
        <w:tc>
          <w:tcPr>
            <w:tcW w:w="6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1,567</w:t>
            </w:r>
          </w:p>
        </w:tc>
        <w:tc>
          <w:tcPr>
            <w:tcW w:w="0" w:type="dxa"/>
            <w:vAlign w:val="bottom"/>
          </w:tcPr>
          <w:p>
            <w:pPr>
              <w:spacing w:after="0"/>
              <w:rPr>
                <w:sz w:val="1"/>
                <w:szCs w:val="1"/>
                <w:color w:val="auto"/>
              </w:rPr>
            </w:pPr>
          </w:p>
        </w:tc>
      </w:tr>
      <w:tr>
        <w:trPr>
          <w:trHeight w:val="307"/>
        </w:trPr>
        <w:tc>
          <w:tcPr>
            <w:tcW w:w="60" w:type="dxa"/>
            <w:vAlign w:val="bottom"/>
            <w:shd w:val="clear" w:color="auto" w:fill="E6E6E6"/>
          </w:tcPr>
          <w:p>
            <w:pPr>
              <w:spacing w:after="0"/>
              <w:rPr>
                <w:sz w:val="24"/>
                <w:szCs w:val="24"/>
                <w:color w:val="auto"/>
              </w:rPr>
            </w:pPr>
          </w:p>
        </w:tc>
        <w:tc>
          <w:tcPr>
            <w:tcW w:w="216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Issuance of common stock under</w:t>
            </w:r>
          </w:p>
        </w:tc>
        <w:tc>
          <w:tcPr>
            <w:tcW w:w="4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7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6E6E6"/>
          </w:tcPr>
          <w:p>
            <w:pPr>
              <w:spacing w:after="0"/>
              <w:rPr>
                <w:sz w:val="19"/>
                <w:szCs w:val="19"/>
                <w:color w:val="auto"/>
              </w:rPr>
            </w:pPr>
          </w:p>
        </w:tc>
        <w:tc>
          <w:tcPr>
            <w:tcW w:w="216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4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800" w:type="dxa"/>
            <w:vAlign w:val="bottom"/>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22"/>
                <w:szCs w:val="22"/>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(1,743)</w:t>
            </w:r>
          </w:p>
        </w:tc>
        <w:tc>
          <w:tcPr>
            <w:tcW w:w="0" w:type="dxa"/>
            <w:vAlign w:val="bottom"/>
          </w:tcPr>
          <w:p>
            <w:pPr>
              <w:spacing w:after="0"/>
              <w:rPr>
                <w:sz w:val="1"/>
                <w:szCs w:val="1"/>
                <w:color w:val="auto"/>
              </w:rPr>
            </w:pPr>
          </w:p>
        </w:tc>
      </w:tr>
      <w:tr>
        <w:trPr>
          <w:trHeight w:val="234"/>
        </w:trPr>
        <w:tc>
          <w:tcPr>
            <w:tcW w:w="60" w:type="dxa"/>
            <w:vAlign w:val="bottom"/>
            <w:shd w:val="clear" w:color="auto" w:fill="E6E6E6"/>
          </w:tcPr>
          <w:p>
            <w:pPr>
              <w:spacing w:after="0"/>
              <w:rPr>
                <w:sz w:val="20"/>
                <w:szCs w:val="20"/>
                <w:color w:val="auto"/>
              </w:rPr>
            </w:pPr>
          </w:p>
        </w:tc>
        <w:tc>
          <w:tcPr>
            <w:tcW w:w="2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Exercise of stock options and</w:t>
            </w:r>
          </w:p>
        </w:tc>
        <w:tc>
          <w:tcPr>
            <w:tcW w:w="7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6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20" w:type="dxa"/>
            <w:vAlign w:val="bottom"/>
            <w:shd w:val="clear" w:color="auto" w:fill="E6E6E6"/>
          </w:tcPr>
          <w:p>
            <w:pPr>
              <w:spacing w:after="0"/>
              <w:rPr>
                <w:sz w:val="20"/>
                <w:szCs w:val="20"/>
                <w:color w:val="auto"/>
              </w:rPr>
            </w:pPr>
          </w:p>
        </w:tc>
        <w:tc>
          <w:tcPr>
            <w:tcW w:w="74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78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60" w:type="dxa"/>
            <w:vAlign w:val="bottom"/>
            <w:shd w:val="clear" w:color="auto" w:fill="E6E6E6"/>
          </w:tcPr>
          <w:p>
            <w:pPr>
              <w:spacing w:after="0"/>
              <w:rPr>
                <w:sz w:val="20"/>
                <w:szCs w:val="20"/>
                <w:color w:val="auto"/>
              </w:rPr>
            </w:pPr>
          </w:p>
        </w:tc>
        <w:tc>
          <w:tcPr>
            <w:tcW w:w="660" w:type="dxa"/>
            <w:vAlign w:val="bottom"/>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0" w:type="dxa"/>
            <w:vAlign w:val="bottom"/>
            <w:shd w:val="clear" w:color="auto" w:fill="E6E6E6"/>
          </w:tcPr>
          <w:p>
            <w:pPr>
              <w:spacing w:after="0"/>
              <w:rPr>
                <w:sz w:val="20"/>
                <w:szCs w:val="20"/>
                <w:color w:val="auto"/>
              </w:rPr>
            </w:pPr>
          </w:p>
        </w:tc>
        <w:tc>
          <w:tcPr>
            <w:tcW w:w="8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 w:type="dxa"/>
            <w:vAlign w:val="bottom"/>
            <w:shd w:val="clear" w:color="auto" w:fill="E6E6E6"/>
          </w:tcPr>
          <w:p>
            <w:pPr>
              <w:spacing w:after="0"/>
              <w:rPr>
                <w:sz w:val="15"/>
                <w:szCs w:val="15"/>
                <w:color w:val="auto"/>
              </w:rPr>
            </w:pPr>
          </w:p>
        </w:tc>
        <w:tc>
          <w:tcPr>
            <w:tcW w:w="2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issuance of restricted stock</w:t>
            </w:r>
          </w:p>
        </w:tc>
        <w:tc>
          <w:tcPr>
            <w:tcW w:w="7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7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6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20" w:type="dxa"/>
            <w:vAlign w:val="bottom"/>
            <w:shd w:val="clear" w:color="auto" w:fill="E6E6E6"/>
          </w:tcPr>
          <w:p>
            <w:pPr>
              <w:spacing w:after="0"/>
              <w:rPr>
                <w:sz w:val="15"/>
                <w:szCs w:val="15"/>
                <w:color w:val="auto"/>
              </w:rPr>
            </w:pPr>
          </w:p>
        </w:tc>
        <w:tc>
          <w:tcPr>
            <w:tcW w:w="7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4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7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6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800" w:type="dxa"/>
            <w:vAlign w:val="bottom"/>
            <w:vMerge w:val="restart"/>
            <w:shd w:val="clear" w:color="auto" w:fill="E6E6E6"/>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97"/>
        </w:trPr>
        <w:tc>
          <w:tcPr>
            <w:tcW w:w="60" w:type="dxa"/>
            <w:vAlign w:val="bottom"/>
            <w:shd w:val="clear" w:color="auto" w:fill="E6E6E6"/>
          </w:tcPr>
          <w:p>
            <w:pPr>
              <w:spacing w:after="0"/>
              <w:rPr>
                <w:sz w:val="17"/>
                <w:szCs w:val="17"/>
                <w:color w:val="auto"/>
              </w:rPr>
            </w:pPr>
          </w:p>
        </w:tc>
        <w:tc>
          <w:tcPr>
            <w:tcW w:w="22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color w:val="auto"/>
              </w:rPr>
              <w:t>awards, net of forfeitures</w:t>
            </w: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680" w:type="dxa"/>
            <w:vAlign w:val="bottom"/>
            <w:tcBorders>
              <w:bottom w:val="single" w:sz="8" w:color="auto"/>
            </w:tcBorders>
            <w:vMerge w:val="continue"/>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20" w:type="dxa"/>
            <w:vAlign w:val="bottom"/>
            <w:tcBorders>
              <w:bottom w:val="single" w:sz="8" w:color="auto"/>
            </w:tcBorders>
            <w:shd w:val="clear" w:color="auto" w:fill="E6E6E6"/>
          </w:tcPr>
          <w:p>
            <w:pPr>
              <w:spacing w:after="0"/>
              <w:rPr>
                <w:sz w:val="17"/>
                <w:szCs w:val="17"/>
                <w:color w:val="auto"/>
              </w:rPr>
            </w:pPr>
          </w:p>
        </w:tc>
        <w:tc>
          <w:tcPr>
            <w:tcW w:w="74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7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tcBorders>
              <w:bottom w:val="single" w:sz="8" w:color="auto"/>
            </w:tcBorders>
            <w:shd w:val="clear" w:color="auto" w:fill="E6E6E6"/>
          </w:tcPr>
          <w:p>
            <w:pPr>
              <w:spacing w:after="0"/>
              <w:rPr>
                <w:sz w:val="17"/>
                <w:szCs w:val="17"/>
                <w:color w:val="auto"/>
              </w:rPr>
            </w:pPr>
          </w:p>
        </w:tc>
        <w:tc>
          <w:tcPr>
            <w:tcW w:w="660" w:type="dxa"/>
            <w:vAlign w:val="bottom"/>
            <w:tcBorders>
              <w:bottom w:val="single" w:sz="8" w:color="auto"/>
            </w:tcBorders>
            <w:vMerge w:val="continue"/>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vMerge w:val="continue"/>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21,295</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168,900</w:t>
            </w:r>
          </w:p>
        </w:tc>
        <w:tc>
          <w:tcPr>
            <w:tcW w:w="320" w:type="dxa"/>
            <w:vAlign w:val="bottom"/>
            <w:gridSpan w:val="4"/>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(4,161)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(1,783)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(13,833)</w:t>
            </w:r>
          </w:p>
        </w:tc>
        <w:tc>
          <w:tcPr>
            <w:tcW w:w="280" w:type="dxa"/>
            <w:vAlign w:val="bottom"/>
            <w:gridSpan w:val="3"/>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130,984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-3001010</wp:posOffset>
                </wp:positionV>
                <wp:extent cx="143383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33830"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6.2999pt" to="113.35pt,-236.2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1439545</wp:posOffset>
                </wp:positionH>
                <wp:positionV relativeFrom="paragraph">
                  <wp:posOffset>-2995295</wp:posOffset>
                </wp:positionV>
                <wp:extent cx="48768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768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3.35pt,-235.8499pt" to="151.75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1972945</wp:posOffset>
                </wp:positionH>
                <wp:positionV relativeFrom="paragraph">
                  <wp:posOffset>-2995295</wp:posOffset>
                </wp:positionV>
                <wp:extent cx="5791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35pt,-235.8499pt" to="200.95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2597785</wp:posOffset>
                </wp:positionH>
                <wp:positionV relativeFrom="paragraph">
                  <wp:posOffset>-2995295</wp:posOffset>
                </wp:positionV>
                <wp:extent cx="55181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5pt,-235.8499pt" to="248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3195320</wp:posOffset>
                </wp:positionH>
                <wp:positionV relativeFrom="paragraph">
                  <wp:posOffset>-2995295</wp:posOffset>
                </wp:positionV>
                <wp:extent cx="61595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6pt,-235.8499pt" to="300.1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3857625</wp:posOffset>
                </wp:positionH>
                <wp:positionV relativeFrom="paragraph">
                  <wp:posOffset>-2995295</wp:posOffset>
                </wp:positionV>
                <wp:extent cx="65214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14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75pt,-235.8499pt" to="355.1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4556125</wp:posOffset>
                </wp:positionH>
                <wp:positionV relativeFrom="paragraph">
                  <wp:posOffset>-2995295</wp:posOffset>
                </wp:positionV>
                <wp:extent cx="48641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41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75pt,-235.8499pt" to="397.05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5088890</wp:posOffset>
                </wp:positionH>
                <wp:positionV relativeFrom="paragraph">
                  <wp:posOffset>-2995295</wp:posOffset>
                </wp:positionV>
                <wp:extent cx="5238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7pt,-235.8499pt" to="441.95pt,-235.8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5659120</wp:posOffset>
                </wp:positionH>
                <wp:positionV relativeFrom="paragraph">
                  <wp:posOffset>-2995295</wp:posOffset>
                </wp:positionV>
                <wp:extent cx="6337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373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6pt,-235.8499pt" to="495.5pt,-235.8499pt" o:allowincell="f" strokecolor="#FFFFFF" strokeweight="0.0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880" w:h="15480" w:orient="portrait"/>
          <w:cols w:equalWidth="0" w:num="1">
            <w:col w:w="9920"/>
          </w:cols>
          <w:pgMar w:left="980" w:top="685" w:right="980"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3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25"/>
        </w:trPr>
        <w:tc>
          <w:tcPr>
            <w:tcW w:w="60" w:type="dxa"/>
            <w:vAlign w:val="bottom"/>
            <w:tcBorders>
              <w:bottom w:val="single" w:sz="8" w:color="E6E6E6"/>
            </w:tcBorders>
          </w:tcPr>
          <w:p>
            <w:pPr>
              <w:spacing w:after="0"/>
              <w:rPr>
                <w:sz w:val="19"/>
                <w:szCs w:val="19"/>
                <w:color w:val="auto"/>
              </w:rPr>
            </w:pPr>
          </w:p>
        </w:tc>
        <w:tc>
          <w:tcPr>
            <w:tcW w:w="72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12"/>
        </w:trPr>
        <w:tc>
          <w:tcPr>
            <w:tcW w:w="60" w:type="dxa"/>
            <w:vAlign w:val="bottom"/>
            <w:shd w:val="clear" w:color="auto" w:fill="E6E6E6"/>
          </w:tcPr>
          <w:p>
            <w:pPr>
              <w:spacing w:after="0"/>
              <w:rPr>
                <w:sz w:val="18"/>
                <w:szCs w:val="18"/>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96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(7,383)</w:t>
            </w:r>
          </w:p>
        </w:tc>
        <w:tc>
          <w:tcPr>
            <w:tcW w:w="20" w:type="dxa"/>
            <w:vAlign w:val="bottom"/>
          </w:tcPr>
          <w:p>
            <w:pPr>
              <w:spacing w:after="0"/>
              <w:rPr>
                <w:sz w:val="21"/>
                <w:szCs w:val="21"/>
                <w:color w:val="auto"/>
              </w:rPr>
            </w:pPr>
          </w:p>
        </w:tc>
        <w:tc>
          <w:tcPr>
            <w:tcW w:w="360" w:type="dxa"/>
            <w:vAlign w:val="bottom"/>
            <w:gridSpan w:val="4"/>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(11,048)</w:t>
            </w:r>
          </w:p>
        </w:tc>
        <w:tc>
          <w:tcPr>
            <w:tcW w:w="0" w:type="dxa"/>
            <w:vAlign w:val="bottom"/>
          </w:tcPr>
          <w:p>
            <w:pPr>
              <w:spacing w:after="0"/>
              <w:rPr>
                <w:sz w:val="1"/>
                <w:szCs w:val="1"/>
                <w:color w:val="auto"/>
              </w:rPr>
            </w:pPr>
          </w:p>
        </w:tc>
      </w:tr>
      <w:tr>
        <w:trPr>
          <w:trHeight w:val="295"/>
        </w:trPr>
        <w:tc>
          <w:tcPr>
            <w:tcW w:w="60" w:type="dxa"/>
            <w:vAlign w:val="bottom"/>
            <w:shd w:val="clear" w:color="auto" w:fill="E6E6E6"/>
          </w:tcPr>
          <w:p>
            <w:pPr>
              <w:spacing w:after="0"/>
              <w:rPr>
                <w:sz w:val="24"/>
                <w:szCs w:val="24"/>
                <w:color w:val="auto"/>
              </w:rPr>
            </w:pPr>
          </w:p>
        </w:tc>
        <w:tc>
          <w:tcPr>
            <w:tcW w:w="72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217</w:t>
            </w:r>
          </w:p>
        </w:tc>
        <w:tc>
          <w:tcPr>
            <w:tcW w:w="0" w:type="dxa"/>
            <w:vAlign w:val="bottom"/>
          </w:tcPr>
          <w:p>
            <w:pPr>
              <w:spacing w:after="0"/>
              <w:rPr>
                <w:sz w:val="1"/>
                <w:szCs w:val="1"/>
                <w:color w:val="auto"/>
              </w:rPr>
            </w:pPr>
          </w:p>
        </w:tc>
      </w:tr>
      <w:tr>
        <w:trPr>
          <w:trHeight w:val="278"/>
        </w:trPr>
        <w:tc>
          <w:tcPr>
            <w:tcW w:w="60" w:type="dxa"/>
            <w:vAlign w:val="bottom"/>
            <w:shd w:val="clear" w:color="auto" w:fill="E6E6E6"/>
          </w:tcPr>
          <w:p>
            <w:pPr>
              <w:spacing w:after="0"/>
              <w:rPr>
                <w:sz w:val="24"/>
                <w:szCs w:val="24"/>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10,696</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13,298</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Impairment charge to goodwill and long-lived assets</w:t>
            </w:r>
          </w:p>
        </w:tc>
        <w:tc>
          <w:tcPr>
            <w:tcW w:w="3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1,137</w:t>
            </w:r>
          </w:p>
        </w:tc>
        <w:tc>
          <w:tcPr>
            <w:tcW w:w="0" w:type="dxa"/>
            <w:vAlign w:val="bottom"/>
          </w:tcPr>
          <w:p>
            <w:pPr>
              <w:spacing w:after="0"/>
              <w:rPr>
                <w:sz w:val="1"/>
                <w:szCs w:val="1"/>
                <w:color w:val="auto"/>
              </w:rPr>
            </w:pPr>
          </w:p>
        </w:tc>
      </w:tr>
      <w:tr>
        <w:trPr>
          <w:trHeight w:val="245"/>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(Gain) loss on disposals of fixed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1,220</w:t>
            </w:r>
          </w:p>
        </w:tc>
        <w:tc>
          <w:tcPr>
            <w:tcW w:w="0" w:type="dxa"/>
            <w:vAlign w:val="bottom"/>
          </w:tcPr>
          <w:p>
            <w:pPr>
              <w:spacing w:after="0"/>
              <w:rPr>
                <w:sz w:val="1"/>
                <w:szCs w:val="1"/>
                <w:color w:val="auto"/>
              </w:rPr>
            </w:pPr>
          </w:p>
        </w:tc>
      </w:tr>
      <w:tr>
        <w:trPr>
          <w:trHeight w:val="313"/>
        </w:trPr>
        <w:tc>
          <w:tcPr>
            <w:tcW w:w="60" w:type="dxa"/>
            <w:vAlign w:val="bottom"/>
            <w:shd w:val="clear" w:color="auto" w:fill="E6E6E6"/>
          </w:tcPr>
          <w:p>
            <w:pPr>
              <w:spacing w:after="0"/>
              <w:rPr>
                <w:sz w:val="24"/>
                <w:szCs w:val="24"/>
                <w:color w:val="auto"/>
              </w:rPr>
            </w:pPr>
          </w:p>
        </w:tc>
        <w:tc>
          <w:tcPr>
            <w:tcW w:w="7240" w:type="dxa"/>
            <w:vAlign w:val="bottom"/>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Stock-based compensation</w:t>
            </w: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1,567</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2,027</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Unrealized currency translation (gain) loss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70"/>
        </w:trPr>
        <w:tc>
          <w:tcPr>
            <w:tcW w:w="60" w:type="dxa"/>
            <w:vAlign w:val="bottom"/>
            <w:shd w:val="clear" w:color="auto" w:fill="E6E6E6"/>
          </w:tcPr>
          <w:p>
            <w:pPr>
              <w:spacing w:after="0"/>
              <w:rPr>
                <w:sz w:val="23"/>
                <w:szCs w:val="23"/>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Gain on sale of fixed assets located at 50 Enterprise Center Middletown, Rhode Island</w:t>
            </w: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(1,319)</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Loss on sale of fixed assets located at 75 Enterprise Center Middletown, Rhode Island</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1"/>
        </w:trPr>
        <w:tc>
          <w:tcPr>
            <w:tcW w:w="60" w:type="dxa"/>
            <w:vAlign w:val="bottom"/>
            <w:shd w:val="clear" w:color="auto" w:fill="E6E6E6"/>
          </w:tcPr>
          <w:p>
            <w:pPr>
              <w:spacing w:after="0"/>
              <w:rPr>
                <w:sz w:val="22"/>
                <w:szCs w:val="22"/>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0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4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80" w:type="dxa"/>
            <w:vAlign w:val="bottom"/>
            <w:shd w:val="clear" w:color="auto" w:fill="E6E6E6"/>
          </w:tcPr>
          <w:p>
            <w:pPr>
              <w:spacing w:after="0"/>
              <w:rPr>
                <w:sz w:val="22"/>
                <w:szCs w:val="22"/>
                <w:color w:val="auto"/>
              </w:rPr>
            </w:pPr>
          </w:p>
        </w:tc>
        <w:tc>
          <w:tcPr>
            <w:tcW w:w="96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3,812</w:t>
            </w: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Inventories</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8,709</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(3,908)</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(11,661)</w:t>
            </w: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1,047</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2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Accounts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520"/>
              <w:spacing w:after="0"/>
              <w:rPr>
                <w:sz w:val="20"/>
                <w:szCs w:val="20"/>
                <w:color w:val="auto"/>
              </w:rPr>
            </w:pPr>
            <w:r>
              <w:rPr>
                <w:rFonts w:ascii="Times New Roman" w:cs="Times New Roman" w:eastAsia="Times New Roman" w:hAnsi="Times New Roman"/>
                <w:sz w:val="15"/>
                <w:szCs w:val="15"/>
                <w:color w:val="auto"/>
              </w:rPr>
              <w:t>Deferred revenue</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(728)</w:t>
            </w:r>
          </w:p>
        </w:tc>
        <w:tc>
          <w:tcPr>
            <w:tcW w:w="0" w:type="dxa"/>
            <w:vAlign w:val="bottom"/>
          </w:tcPr>
          <w:p>
            <w:pPr>
              <w:spacing w:after="0"/>
              <w:rPr>
                <w:sz w:val="1"/>
                <w:szCs w:val="1"/>
                <w:color w:val="auto"/>
              </w:rPr>
            </w:pPr>
          </w:p>
        </w:tc>
      </w:tr>
      <w:tr>
        <w:trPr>
          <w:trHeight w:val="245"/>
        </w:trPr>
        <w:tc>
          <w:tcPr>
            <w:tcW w:w="60" w:type="dxa"/>
            <w:vAlign w:val="bottom"/>
            <w:tcBorders>
              <w:bottom w:val="single" w:sz="8" w:color="E6E6E6"/>
            </w:tcBorders>
          </w:tcPr>
          <w:p>
            <w:pPr>
              <w:spacing w:after="0"/>
              <w:rPr>
                <w:sz w:val="21"/>
                <w:szCs w:val="21"/>
                <w:color w:val="auto"/>
              </w:rPr>
            </w:pPr>
          </w:p>
        </w:tc>
        <w:tc>
          <w:tcPr>
            <w:tcW w:w="7260" w:type="dxa"/>
            <w:vAlign w:val="bottom"/>
            <w:tcBorders>
              <w:bottom w:val="single" w:sz="8" w:color="E6E6E6"/>
            </w:tcBorders>
            <w:gridSpan w:val="2"/>
          </w:tcPr>
          <w:p>
            <w:pPr>
              <w:ind w:left="520"/>
              <w:spacing w:after="0"/>
              <w:rPr>
                <w:sz w:val="20"/>
                <w:szCs w:val="20"/>
                <w:color w:val="auto"/>
              </w:rPr>
            </w:pPr>
            <w:r>
              <w:rPr>
                <w:rFonts w:ascii="Times New Roman" w:cs="Times New Roman" w:eastAsia="Times New Roman" w:hAnsi="Times New Roman"/>
                <w:sz w:val="15"/>
                <w:szCs w:val="15"/>
                <w:color w:val="auto"/>
              </w:rPr>
              <w:t>Accrued compensation, product warranty and other</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(7,724)</w:t>
            </w:r>
          </w:p>
        </w:tc>
        <w:tc>
          <w:tcPr>
            <w:tcW w:w="0" w:type="dxa"/>
            <w:vAlign w:val="bottom"/>
          </w:tcPr>
          <w:p>
            <w:pPr>
              <w:spacing w:after="0"/>
              <w:rPr>
                <w:sz w:val="1"/>
                <w:szCs w:val="1"/>
                <w:color w:val="auto"/>
              </w:rPr>
            </w:pPr>
          </w:p>
        </w:tc>
      </w:tr>
      <w:tr>
        <w:trPr>
          <w:trHeight w:val="227"/>
        </w:trPr>
        <w:tc>
          <w:tcPr>
            <w:tcW w:w="60" w:type="dxa"/>
            <w:vAlign w:val="bottom"/>
            <w:shd w:val="clear" w:color="auto" w:fill="E6E6E6"/>
          </w:tcPr>
          <w:p>
            <w:pPr>
              <w:spacing w:after="0"/>
              <w:rPr>
                <w:sz w:val="19"/>
                <w:szCs w:val="19"/>
                <w:color w:val="auto"/>
              </w:rPr>
            </w:pPr>
          </w:p>
        </w:tc>
        <w:tc>
          <w:tcPr>
            <w:tcW w:w="7260" w:type="dxa"/>
            <w:vAlign w:val="bottom"/>
            <w:gridSpan w:val="2"/>
            <w:shd w:val="clear" w:color="auto" w:fill="E6E6E6"/>
          </w:tcPr>
          <w:p>
            <w:pPr>
              <w:ind w:left="1180"/>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00" w:type="dxa"/>
            <w:vAlign w:val="bottom"/>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17,108</w:t>
            </w:r>
          </w:p>
        </w:tc>
        <w:tc>
          <w:tcPr>
            <w:tcW w:w="20" w:type="dxa"/>
            <w:vAlign w:val="bottom"/>
            <w:shd w:val="clear" w:color="auto" w:fill="E6E6E6"/>
          </w:tcPr>
          <w:p>
            <w:pPr>
              <w:spacing w:after="0"/>
              <w:rPr>
                <w:sz w:val="19"/>
                <w:szCs w:val="19"/>
                <w:color w:val="auto"/>
              </w:rPr>
            </w:pPr>
          </w:p>
        </w:tc>
        <w:tc>
          <w:tcPr>
            <w:tcW w:w="360" w:type="dxa"/>
            <w:vAlign w:val="bottom"/>
            <w:gridSpan w:val="4"/>
            <w:shd w:val="clear" w:color="auto" w:fill="E6E6E6"/>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(13,170)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0" w:type="dxa"/>
            <w:vAlign w:val="bottom"/>
          </w:tcPr>
          <w:p>
            <w:pPr>
              <w:spacing w:after="0"/>
              <w:rPr>
                <w:sz w:val="22"/>
                <w:szCs w:val="22"/>
                <w:color w:val="auto"/>
              </w:rPr>
            </w:pPr>
          </w:p>
        </w:tc>
        <w:tc>
          <w:tcPr>
            <w:tcW w:w="72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Capital expenditures</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(7,355)</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(7,417)</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Cash paid for acquisition of intangible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45"/>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Cash paid for business combination</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(3,775)</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Proceeds from the sale of fixed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1,403</w:t>
            </w:r>
          </w:p>
        </w:tc>
        <w:tc>
          <w:tcPr>
            <w:tcW w:w="0" w:type="dxa"/>
            <w:vAlign w:val="bottom"/>
          </w:tcPr>
          <w:p>
            <w:pPr>
              <w:spacing w:after="0"/>
              <w:rPr>
                <w:sz w:val="1"/>
                <w:szCs w:val="1"/>
                <w:color w:val="auto"/>
              </w:rPr>
            </w:pPr>
          </w:p>
        </w:tc>
      </w:tr>
      <w:tr>
        <w:trPr>
          <w:trHeight w:val="246"/>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Proceeds from the sale of fixed assets located at 50 Enterprise Center Middletown, Rhode Island</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4,926</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Proceeds from the sale of fixed assets located at 75 Enterprise Center Middletown, Rhode Island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7,838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6"/>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300" w:type="dxa"/>
            <w:vAlign w:val="bottom"/>
            <w:shd w:val="clear" w:color="auto" w:fill="E6E6E6"/>
          </w:tcPr>
          <w:p>
            <w:pPr>
              <w:spacing w:after="0"/>
              <w:rPr>
                <w:sz w:val="21"/>
                <w:szCs w:val="21"/>
                <w:color w:val="auto"/>
              </w:rPr>
            </w:pPr>
          </w:p>
        </w:tc>
        <w:tc>
          <w:tcPr>
            <w:tcW w:w="98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(1,990)</w:t>
            </w:r>
          </w:p>
        </w:tc>
        <w:tc>
          <w:tcPr>
            <w:tcW w:w="0" w:type="dxa"/>
            <w:vAlign w:val="bottom"/>
          </w:tcPr>
          <w:p>
            <w:pPr>
              <w:spacing w:after="0"/>
              <w:rPr>
                <w:sz w:val="1"/>
                <w:szCs w:val="1"/>
                <w:color w:val="auto"/>
              </w:rPr>
            </w:pPr>
          </w:p>
        </w:tc>
      </w:tr>
      <w:tr>
        <w:trPr>
          <w:trHeight w:val="272"/>
        </w:trPr>
        <w:tc>
          <w:tcPr>
            <w:tcW w:w="60" w:type="dxa"/>
            <w:vAlign w:val="bottom"/>
            <w:tcBorders>
              <w:bottom w:val="single" w:sz="8" w:color="E6E6E6"/>
            </w:tcBorders>
          </w:tcPr>
          <w:p>
            <w:pPr>
              <w:spacing w:after="0"/>
              <w:rPr>
                <w:sz w:val="23"/>
                <w:szCs w:val="23"/>
                <w:color w:val="auto"/>
              </w:rPr>
            </w:pPr>
          </w:p>
        </w:tc>
        <w:tc>
          <w:tcPr>
            <w:tcW w:w="726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5"/>
                <w:szCs w:val="15"/>
                <w:color w:val="auto"/>
              </w:rPr>
              <w:t>Maturities and sales of marketable securities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60,467</w:t>
            </w:r>
          </w:p>
        </w:tc>
        <w:tc>
          <w:tcPr>
            <w:tcW w:w="0" w:type="dxa"/>
            <w:vAlign w:val="bottom"/>
          </w:tcPr>
          <w:p>
            <w:pPr>
              <w:spacing w:after="0"/>
              <w:rPr>
                <w:sz w:val="1"/>
                <w:szCs w:val="1"/>
                <w:color w:val="auto"/>
              </w:rPr>
            </w:pPr>
          </w:p>
        </w:tc>
      </w:tr>
      <w:tr>
        <w:trPr>
          <w:trHeight w:val="205"/>
        </w:trPr>
        <w:tc>
          <w:tcPr>
            <w:tcW w:w="60" w:type="dxa"/>
            <w:vAlign w:val="bottom"/>
            <w:tcBorders>
              <w:top w:val="single" w:sz="8" w:color="E6E6E6"/>
            </w:tcBorders>
            <w:shd w:val="clear" w:color="auto" w:fill="E6E6E6"/>
          </w:tcPr>
          <w:p>
            <w:pPr>
              <w:spacing w:after="0"/>
              <w:rPr>
                <w:sz w:val="17"/>
                <w:szCs w:val="17"/>
                <w:color w:val="auto"/>
              </w:rPr>
            </w:pPr>
          </w:p>
        </w:tc>
        <w:tc>
          <w:tcPr>
            <w:tcW w:w="7260" w:type="dxa"/>
            <w:vAlign w:val="bottom"/>
            <w:tcBorders>
              <w:top w:val="single" w:sz="8" w:color="E6E6E6"/>
            </w:tcBorders>
            <w:gridSpan w:val="2"/>
            <w:shd w:val="clear" w:color="auto" w:fill="E6E6E6"/>
          </w:tcPr>
          <w:p>
            <w:pPr>
              <w:ind w:left="1180"/>
              <w:spacing w:after="0"/>
              <w:rPr>
                <w:sz w:val="20"/>
                <w:szCs w:val="20"/>
                <w:color w:val="auto"/>
              </w:rPr>
            </w:pPr>
            <w:r>
              <w:rPr>
                <w:rFonts w:ascii="Times New Roman" w:cs="Times New Roman" w:eastAsia="Times New Roman" w:hAnsi="Times New Roman"/>
                <w:sz w:val="15"/>
                <w:szCs w:val="15"/>
                <w:b w:val="1"/>
                <w:bCs w:val="1"/>
                <w:color w:val="auto"/>
              </w:rPr>
              <w:t>Net cash provided by investing activities</w:t>
            </w:r>
          </w:p>
        </w:tc>
        <w:tc>
          <w:tcPr>
            <w:tcW w:w="300" w:type="dxa"/>
            <w:vAlign w:val="bottom"/>
            <w:tcBorders>
              <w:top w:val="single" w:sz="8" w:color="E6E6E6"/>
            </w:tcBorders>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3,888</w:t>
            </w:r>
          </w:p>
        </w:tc>
        <w:tc>
          <w:tcPr>
            <w:tcW w:w="20" w:type="dxa"/>
            <w:vAlign w:val="bottom"/>
            <w:tcBorders>
              <w:top w:val="single" w:sz="8" w:color="E6E6E6"/>
            </w:tcBorders>
            <w:shd w:val="clear" w:color="auto" w:fill="E6E6E6"/>
          </w:tcPr>
          <w:p>
            <w:pPr>
              <w:spacing w:after="0"/>
              <w:rPr>
                <w:sz w:val="17"/>
                <w:szCs w:val="17"/>
                <w:color w:val="auto"/>
              </w:rPr>
            </w:pPr>
          </w:p>
        </w:tc>
        <w:tc>
          <w:tcPr>
            <w:tcW w:w="360" w:type="dxa"/>
            <w:vAlign w:val="bottom"/>
            <w:tcBorders>
              <w:top w:val="single" w:sz="8" w:color="E6E6E6"/>
            </w:tcBorders>
            <w:gridSpan w:val="4"/>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E6E6E6"/>
            </w:tcBorders>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52,389</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 w:type="dxa"/>
            <w:vAlign w:val="bottom"/>
            <w:shd w:val="clear" w:color="auto" w:fill="E6E6E6"/>
          </w:tcPr>
          <w:p>
            <w:pPr>
              <w:spacing w:after="0"/>
              <w:rPr>
                <w:sz w:val="24"/>
                <w:szCs w:val="24"/>
                <w:color w:val="auto"/>
              </w:rPr>
            </w:pPr>
          </w:p>
        </w:tc>
        <w:tc>
          <w:tcPr>
            <w:tcW w:w="72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Proceeds from stock options exercised and employee stock purchase plan</w:t>
            </w:r>
          </w:p>
        </w:tc>
        <w:tc>
          <w:tcPr>
            <w:tcW w:w="2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80" w:type="dxa"/>
            <w:vAlign w:val="bottom"/>
            <w:shd w:val="clear" w:color="auto" w:fill="E6E6E6"/>
          </w:tcPr>
          <w:p>
            <w:pPr>
              <w:spacing w:after="0"/>
              <w:rPr>
                <w:sz w:val="24"/>
                <w:szCs w:val="24"/>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45"/>
        </w:trPr>
        <w:tc>
          <w:tcPr>
            <w:tcW w:w="60" w:type="dxa"/>
            <w:vAlign w:val="bottom"/>
            <w:tcBorders>
              <w:bottom w:val="single" w:sz="8" w:color="E6E6E6"/>
            </w:tcBorders>
          </w:tcPr>
          <w:p>
            <w:pPr>
              <w:spacing w:after="0"/>
              <w:rPr>
                <w:sz w:val="21"/>
                <w:szCs w:val="21"/>
                <w:color w:val="auto"/>
              </w:rPr>
            </w:pPr>
          </w:p>
        </w:tc>
        <w:tc>
          <w:tcPr>
            <w:tcW w:w="726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5"/>
                <w:szCs w:val="15"/>
                <w:color w:val="auto"/>
              </w:rPr>
              <w:t>Repurchase of treasury stock</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(1,743)</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280" w:type="dxa"/>
            <w:vAlign w:val="bottom"/>
            <w:tcBorders>
              <w:bottom w:val="single" w:sz="8" w:color="E6E6E6"/>
            </w:tcBorders>
          </w:tcPr>
          <w:p>
            <w:pPr>
              <w:spacing w:after="0"/>
              <w:rPr>
                <w:sz w:val="21"/>
                <w:szCs w:val="21"/>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8"/>
        </w:trPr>
        <w:tc>
          <w:tcPr>
            <w:tcW w:w="60" w:type="dxa"/>
            <w:vAlign w:val="bottom"/>
            <w:shd w:val="clear" w:color="auto" w:fill="E6E6E6"/>
          </w:tcPr>
          <w:p>
            <w:pPr>
              <w:spacing w:after="0"/>
              <w:rPr>
                <w:sz w:val="23"/>
                <w:szCs w:val="23"/>
                <w:color w:val="auto"/>
              </w:rPr>
            </w:pPr>
          </w:p>
        </w:tc>
        <w:tc>
          <w:tcPr>
            <w:tcW w:w="7240" w:type="dxa"/>
            <w:vAlign w:val="bottom"/>
            <w:shd w:val="clear" w:color="auto" w:fill="E6E6E6"/>
          </w:tcPr>
          <w:p>
            <w:pPr>
              <w:ind w:left="1180"/>
              <w:spacing w:after="0"/>
              <w:rPr>
                <w:sz w:val="20"/>
                <w:szCs w:val="20"/>
                <w:color w:val="auto"/>
              </w:rPr>
            </w:pPr>
            <w:r>
              <w:rPr>
                <w:rFonts w:ascii="Times New Roman" w:cs="Times New Roman" w:eastAsia="Times New Roman" w:hAnsi="Times New Roman"/>
                <w:sz w:val="15"/>
                <w:szCs w:val="15"/>
                <w:b w:val="1"/>
                <w:bCs w:val="1"/>
                <w:color w:val="auto"/>
              </w:rPr>
              <w:t>Net cash (used in) provided by financing activities</w:t>
            </w:r>
          </w:p>
        </w:tc>
        <w:tc>
          <w:tcPr>
            <w:tcW w:w="2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(1,693)</w:t>
            </w: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300" w:type="dxa"/>
            <w:vAlign w:val="bottom"/>
            <w:gridSpan w:val="2"/>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110</w:t>
            </w: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5"/>
                <w:szCs w:val="15"/>
                <w:b w:val="1"/>
                <w:bCs w:val="1"/>
                <w:color w:val="auto"/>
              </w:rPr>
              <w:t>Net increase in cash and cash equivalents</w:t>
            </w:r>
          </w:p>
        </w:tc>
        <w:tc>
          <w:tcPr>
            <w:tcW w:w="300" w:type="dxa"/>
            <w:vAlign w:val="bottom"/>
            <w:shd w:val="clear" w:color="auto" w:fill="E6E6E6"/>
          </w:tcPr>
          <w:p>
            <w:pPr>
              <w:spacing w:after="0"/>
              <w:rPr>
                <w:sz w:val="21"/>
                <w:szCs w:val="21"/>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19,338</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39,278</w:t>
            </w:r>
          </w:p>
        </w:tc>
        <w:tc>
          <w:tcPr>
            <w:tcW w:w="0" w:type="dxa"/>
            <w:vAlign w:val="bottom"/>
          </w:tcPr>
          <w:p>
            <w:pPr>
              <w:spacing w:after="0"/>
              <w:rPr>
                <w:sz w:val="1"/>
                <w:szCs w:val="1"/>
                <w:color w:val="auto"/>
              </w:rPr>
            </w:pPr>
          </w:p>
        </w:tc>
      </w:tr>
      <w:tr>
        <w:trPr>
          <w:trHeight w:val="270"/>
        </w:trPr>
        <w:tc>
          <w:tcPr>
            <w:tcW w:w="60" w:type="dxa"/>
            <w:vAlign w:val="bottom"/>
            <w:tcBorders>
              <w:bottom w:val="single" w:sz="8" w:color="E6E6E6"/>
            </w:tcBorders>
          </w:tcPr>
          <w:p>
            <w:pPr>
              <w:spacing w:after="0"/>
              <w:rPr>
                <w:sz w:val="23"/>
                <w:szCs w:val="23"/>
                <w:color w:val="auto"/>
              </w:rPr>
            </w:pPr>
          </w:p>
        </w:tc>
        <w:tc>
          <w:tcPr>
            <w:tcW w:w="726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beginning of period</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50,572</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11,294</w:t>
            </w:r>
          </w:p>
        </w:tc>
        <w:tc>
          <w:tcPr>
            <w:tcW w:w="0" w:type="dxa"/>
            <w:vAlign w:val="bottom"/>
          </w:tcPr>
          <w:p>
            <w:pPr>
              <w:spacing w:after="0"/>
              <w:rPr>
                <w:sz w:val="1"/>
                <w:szCs w:val="1"/>
                <w:color w:val="auto"/>
              </w:rPr>
            </w:pPr>
          </w:p>
        </w:tc>
      </w:tr>
      <w:tr>
        <w:trPr>
          <w:trHeight w:val="207"/>
        </w:trPr>
        <w:tc>
          <w:tcPr>
            <w:tcW w:w="60" w:type="dxa"/>
            <w:vAlign w:val="bottom"/>
            <w:tcBorders>
              <w:top w:val="single" w:sz="8" w:color="E6E6E6"/>
            </w:tcBorders>
            <w:shd w:val="clear" w:color="auto" w:fill="E6E6E6"/>
          </w:tcPr>
          <w:p>
            <w:pPr>
              <w:spacing w:after="0"/>
              <w:rPr>
                <w:sz w:val="17"/>
                <w:szCs w:val="17"/>
                <w:color w:val="auto"/>
              </w:rPr>
            </w:pPr>
          </w:p>
        </w:tc>
        <w:tc>
          <w:tcPr>
            <w:tcW w:w="7260" w:type="dxa"/>
            <w:vAlign w:val="bottom"/>
            <w:tcBorders>
              <w:top w:val="single" w:sz="8" w:color="E6E6E6"/>
            </w:tcBorders>
            <w:gridSpan w:val="2"/>
            <w:shd w:val="clear" w:color="auto" w:fill="E6E6E6"/>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300" w:type="dxa"/>
            <w:vAlign w:val="bottom"/>
            <w:tcBorders>
              <w:top w:val="single" w:sz="8" w:color="E6E6E6"/>
            </w:tcBorders>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5"/>
                <w:szCs w:val="15"/>
                <w:b w:val="1"/>
                <w:bCs w:val="1"/>
                <w:color w:val="auto"/>
              </w:rPr>
              <w:t>69,910</w:t>
            </w:r>
          </w:p>
        </w:tc>
        <w:tc>
          <w:tcPr>
            <w:tcW w:w="20" w:type="dxa"/>
            <w:vAlign w:val="bottom"/>
            <w:tcBorders>
              <w:top w:val="single" w:sz="8" w:color="E6E6E6"/>
            </w:tcBorders>
            <w:shd w:val="clear" w:color="auto" w:fill="E6E6E6"/>
          </w:tcPr>
          <w:p>
            <w:pPr>
              <w:spacing w:after="0"/>
              <w:rPr>
                <w:sz w:val="17"/>
                <w:szCs w:val="17"/>
                <w:color w:val="auto"/>
              </w:rPr>
            </w:pPr>
          </w:p>
        </w:tc>
        <w:tc>
          <w:tcPr>
            <w:tcW w:w="360" w:type="dxa"/>
            <w:vAlign w:val="bottom"/>
            <w:tcBorders>
              <w:top w:val="single" w:sz="8" w:color="E6E6E6"/>
            </w:tcBorders>
            <w:gridSpan w:val="4"/>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E6E6E6"/>
            </w:tcBorders>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50,572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7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 w:type="dxa"/>
            <w:vAlign w:val="bottom"/>
            <w:shd w:val="clear" w:color="auto" w:fill="E6E6E6"/>
          </w:tcPr>
          <w:p>
            <w:pPr>
              <w:spacing w:after="0"/>
              <w:rPr>
                <w:sz w:val="21"/>
                <w:szCs w:val="21"/>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Settlement of certain receivables for a business combination</w:t>
            </w:r>
          </w:p>
        </w:tc>
        <w:tc>
          <w:tcPr>
            <w:tcW w:w="300" w:type="dxa"/>
            <w:vAlign w:val="bottom"/>
            <w:tcBorders>
              <w:bottom w:val="single" w:sz="8" w:color="auto"/>
            </w:tcBorders>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945</w:t>
            </w:r>
          </w:p>
        </w:tc>
        <w:tc>
          <w:tcPr>
            <w:tcW w:w="20" w:type="dxa"/>
            <w:vAlign w:val="bottom"/>
            <w:shd w:val="clear" w:color="auto" w:fill="E6E6E6"/>
          </w:tcPr>
          <w:p>
            <w:pPr>
              <w:spacing w:after="0"/>
              <w:rPr>
                <w:sz w:val="21"/>
                <w:szCs w:val="21"/>
                <w:color w:val="auto"/>
              </w:rPr>
            </w:pPr>
          </w:p>
        </w:tc>
        <w:tc>
          <w:tcPr>
            <w:tcW w:w="60" w:type="dxa"/>
            <w:vAlign w:val="bottom"/>
            <w:gridSpan w:val="2"/>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7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5"/>
                <w:szCs w:val="15"/>
                <w:color w:val="auto"/>
              </w:rPr>
              <w:t>Changes in accrued other and accounts payable related to property and equipment additions</w:t>
            </w:r>
          </w:p>
        </w:tc>
        <w:tc>
          <w:tcPr>
            <w:tcW w:w="30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line="20" w:lineRule="exact"/>
              <w:rPr>
                <w:sz w:val="1"/>
                <w:szCs w:val="1"/>
                <w:color w:val="auto"/>
              </w:rPr>
            </w:pPr>
          </w:p>
        </w:tc>
      </w:tr>
      <w:tr>
        <w:trPr>
          <w:trHeight w:val="205"/>
        </w:trPr>
        <w:tc>
          <w:tcPr>
            <w:tcW w:w="60" w:type="dxa"/>
            <w:vAlign w:val="bottom"/>
            <w:tcBorders>
              <w:bottom w:val="single" w:sz="8" w:color="E6E6E6"/>
            </w:tcBorders>
          </w:tcPr>
          <w:p>
            <w:pPr>
              <w:spacing w:after="0"/>
              <w:rPr>
                <w:sz w:val="17"/>
                <w:szCs w:val="17"/>
                <w:color w:val="auto"/>
              </w:rPr>
            </w:pPr>
          </w:p>
        </w:tc>
        <w:tc>
          <w:tcPr>
            <w:tcW w:w="7260" w:type="dxa"/>
            <w:vAlign w:val="bottom"/>
            <w:tcBorders>
              <w:bottom w:val="single" w:sz="8" w:color="E6E6E6"/>
            </w:tcBorders>
            <w:gridSpan w:val="2"/>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shd w:val="clear" w:color="auto" w:fill="E6E6E6"/>
          </w:tcPr>
          <w:p>
            <w:pPr>
              <w:spacing w:after="0"/>
              <w:rPr>
                <w:sz w:val="16"/>
                <w:szCs w:val="16"/>
                <w:color w:val="auto"/>
              </w:rPr>
            </w:pPr>
          </w:p>
        </w:tc>
        <w:tc>
          <w:tcPr>
            <w:tcW w:w="726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5"/>
                <w:szCs w:val="15"/>
                <w:color w:val="auto"/>
              </w:rPr>
              <w:t>Right of use assets (ROU) assets arising from entering into new operating lease obligations</w:t>
            </w:r>
          </w:p>
        </w:tc>
        <w:tc>
          <w:tcPr>
            <w:tcW w:w="300" w:type="dxa"/>
            <w:vAlign w:val="bottom"/>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3,776</w:t>
            </w:r>
          </w:p>
        </w:tc>
        <w:tc>
          <w:tcPr>
            <w:tcW w:w="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300" w:type="dxa"/>
            <w:vAlign w:val="bottom"/>
            <w:gridSpan w:val="2"/>
            <w:shd w:val="clear" w:color="auto" w:fill="E6E6E6"/>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5"/>
                <w:szCs w:val="15"/>
                <w:color w:val="auto"/>
              </w:rPr>
              <w:t>1,089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4648200</wp:posOffset>
                </wp:positionH>
                <wp:positionV relativeFrom="paragraph">
                  <wp:posOffset>-7120890</wp:posOffset>
                </wp:positionV>
                <wp:extent cx="16446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465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560.6999pt" to="495.5pt,-560.6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-3571240</wp:posOffset>
                </wp:positionV>
                <wp:extent cx="464248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248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81.1999pt" to="366pt,-281.1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4648200</wp:posOffset>
                </wp:positionH>
                <wp:positionV relativeFrom="paragraph">
                  <wp:posOffset>-3565525</wp:posOffset>
                </wp:positionV>
                <wp:extent cx="79883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280.7499pt" to="428.9pt,-280.7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5493385</wp:posOffset>
                </wp:positionH>
                <wp:positionV relativeFrom="paragraph">
                  <wp:posOffset>-3565525</wp:posOffset>
                </wp:positionV>
                <wp:extent cx="7994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55pt,-280.7499pt" to="495.5pt,-280.7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4648200</wp:posOffset>
                </wp:positionH>
                <wp:positionV relativeFrom="paragraph">
                  <wp:posOffset>-1965325</wp:posOffset>
                </wp:positionV>
                <wp:extent cx="79883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154.7499pt" to="428.9pt,-154.7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5493385</wp:posOffset>
                </wp:positionH>
                <wp:positionV relativeFrom="paragraph">
                  <wp:posOffset>-1965325</wp:posOffset>
                </wp:positionV>
                <wp:extent cx="79946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55pt,-154.7499pt" to="495.5pt,-154.7499pt" o:allowincell="f" strokecolor="#FFFFFF" strokeweight="0.0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880" w:h="15480" w:orient="portrait"/>
          <w:cols w:equalWidth="0" w:num="1">
            <w:col w:w="9920"/>
          </w:cols>
          <w:pgMar w:left="980" w:top="768" w:right="980"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46" w:lineRule="exact"/>
        <w:rPr>
          <w:sz w:val="20"/>
          <w:szCs w:val="20"/>
          <w:color w:val="auto"/>
        </w:rPr>
      </w:pPr>
    </w:p>
    <w:p>
      <w:pPr>
        <w:ind w:left="700" w:hanging="690"/>
        <w:spacing w:after="0"/>
        <w:tabs>
          <w:tab w:leader="none" w:pos="7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w:t>
      </w:r>
    </w:p>
    <w:p>
      <w:pPr>
        <w:spacing w:after="0" w:line="319" w:lineRule="exact"/>
        <w:rPr>
          <w:sz w:val="20"/>
          <w:szCs w:val="20"/>
          <w:color w:val="auto"/>
        </w:rPr>
      </w:pPr>
    </w:p>
    <w:p>
      <w:pPr>
        <w:ind w:left="540" w:hanging="530"/>
        <w:spacing w:after="0"/>
        <w:tabs>
          <w:tab w:leader="none" w:pos="540" w:val="left"/>
        </w:tabs>
        <w:numPr>
          <w:ilvl w:val="0"/>
          <w:numId w:val="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Description of Business</w:t>
      </w:r>
    </w:p>
    <w:p>
      <w:pPr>
        <w:spacing w:after="0" w:line="313" w:lineRule="exact"/>
        <w:rPr>
          <w:sz w:val="20"/>
          <w:szCs w:val="20"/>
          <w:color w:val="auto"/>
        </w:rPr>
      </w:pPr>
    </w:p>
    <w:p>
      <w:pPr>
        <w:jc w:val="both"/>
        <w:ind w:right="20" w:firstLine="521"/>
        <w:spacing w:after="0" w:line="318" w:lineRule="auto"/>
        <w:rPr>
          <w:sz w:val="20"/>
          <w:szCs w:val="20"/>
          <w:color w:val="auto"/>
        </w:rPr>
      </w:pPr>
      <w:r>
        <w:rPr>
          <w:rFonts w:ascii="Times New Roman" w:cs="Times New Roman" w:eastAsia="Times New Roman" w:hAnsi="Times New Roman"/>
          <w:sz w:val="19"/>
          <w:szCs w:val="19"/>
          <w:color w:val="auto"/>
        </w:rPr>
        <w:t>KVH develops, markets, and supports mobile connectivity and managed services and products for the marine and land markets.</w:t>
      </w:r>
    </w:p>
    <w:p>
      <w:pPr>
        <w:spacing w:after="0" w:line="184" w:lineRule="exact"/>
        <w:rPr>
          <w:sz w:val="20"/>
          <w:szCs w:val="20"/>
          <w:color w:val="auto"/>
        </w:rPr>
      </w:pPr>
    </w:p>
    <w:p>
      <w:pPr>
        <w:jc w:val="both"/>
        <w:ind w:firstLine="521"/>
        <w:spacing w:after="0" w:line="296" w:lineRule="auto"/>
        <w:rPr>
          <w:sz w:val="20"/>
          <w:szCs w:val="20"/>
          <w:color w:val="auto"/>
        </w:rPr>
      </w:pPr>
      <w:r>
        <w:rPr>
          <w:rFonts w:ascii="Times New Roman" w:cs="Times New Roman" w:eastAsia="Times New Roman" w:hAnsi="Times New Roman"/>
          <w:sz w:val="19"/>
          <w:szCs w:val="19"/>
          <w:color w:val="auto"/>
        </w:rPr>
        <w:t>KVH’s service sales primarily represent revenue earned from satellite Internet airtime services. In March 2023, KVH began selling terminals for the Starlink Low Earth Orbit (LEO) service and in September 2023 became a Starlink authorized hardware and airtime reseller. In October 2024, KVH expanded its portfolio to include Starlink Local Priority data plans, which is suitable for fixed and mobile uses on land and inland waterways, including lakes and rivers. KVH further expanded its LEO service and hardware portfolio in January 2025 with the launch of the Eutelsat OneWeb service for maritime applications. In addition, KVH provides, for monthly fixed and per-usage fees, satellite connectivity encompassing broadband Internet and Voice over Internet Protocol (VoIP) services, to its TracNet® H-series and TracPhone® V-HTS series customers via KVH’s global high-throughput satellite (HTS) network. Following the July 2022 launch of the KVH ONE® hybrid network and TracNet H-series terminals and the subsequent introduction of the TracNet Coastal cellular/Wi-Fi terminal, KVH began to supplement its satellite-only airtime revenue with revenue from its cellular airtime service. KVH provides this combination of services and products in more than 130 countries. The May 2023 introduction of the KVH ONE OpenNet Program expanded access to KVH’s global HTS network and airtime services to non-KVH terminals.</w:t>
      </w:r>
    </w:p>
    <w:p>
      <w:pPr>
        <w:spacing w:after="0" w:line="240"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AgilePlans, KVH’s connectivity as a service offering, is a monthly subscription model that provides global connectivity to commercial maritime customers. The subscription can include KVH VSAT terminals and data service, Starlink and Eutelsat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Eutelsat OneWeb terminal.</w:t>
      </w:r>
    </w:p>
    <w:p>
      <w:pPr>
        <w:spacing w:after="0" w:line="26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266"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219"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KVH’s satellite-only and hybrid products enable marine customers to receive data, VoIP, and value-added services via satellite, cellular, and shore-based Wi-Fi networks onboard commercial and leisure vessels. In addition, the Company’s in-motion television terminals permit customers to receive live digital television via regional satellite services in marine vessels, recreational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0" w:orient="portrait"/>
          <w:cols w:equalWidth="0" w:num="1">
            <w:col w:w="9920"/>
          </w:cols>
          <w:pgMar w:left="980" w:top="600" w:right="980"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vehicles, buses and automobiles. KVH sells its products through an extensive international network of dealers and distributors.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KVH also sells and leases products to service providers and end users.</w:t>
      </w:r>
    </w:p>
    <w:p>
      <w:pPr>
        <w:spacing w:after="0" w:line="31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KVH’s marine leisure business is highly seasonal. Seasonality can also impact the Company’s commercial marine business, although typically to a lesser degree. Temporary suspensions of the Company’s airtime services typically increase in the fourth and first quarters of each year as boats are placed out of service during the winter months. Historically, the Company has generated the majority of its marine leisure product revenues during the first and second quarters of each year, and these revenues typically decline in the third and fourth quarters of each year, compared to the first two quarters.</w:t>
      </w:r>
    </w:p>
    <w:p>
      <w:pPr>
        <w:spacing w:after="0" w:line="219"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wind-down has been extended because the reduced workforce has been prioritizing fulfillment of LEO product orders and refurbishing AgilePlan terminals over manufacturing new units. The Company expects to continue to facilitate customer transition to third-party hardware products compatible with its mobile satellite communications services. Please see Note 15 for additional details surrounding the wind-down of the Company's manufacturing activities.</w:t>
      </w:r>
    </w:p>
    <w:p>
      <w:pPr>
        <w:spacing w:after="0" w:line="228" w:lineRule="exact"/>
        <w:rPr>
          <w:sz w:val="20"/>
          <w:szCs w:val="20"/>
          <w:color w:val="auto"/>
        </w:rPr>
      </w:pPr>
    </w:p>
    <w:p>
      <w:pPr>
        <w:ind w:left="540" w:hanging="531"/>
        <w:spacing w:after="0"/>
        <w:tabs>
          <w:tab w:leader="none" w:pos="540" w:val="left"/>
        </w:tabs>
        <w:numPr>
          <w:ilvl w:val="0"/>
          <w:numId w:val="1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Principles of Consolidation</w:t>
      </w:r>
    </w:p>
    <w:p>
      <w:pPr>
        <w:spacing w:after="0" w:line="313"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accompanying consolidated financial statements of KVH Industries, Inc. and its wholly owned subsidiaries have been prepared in accordance with accounting principles generally accepted in the United States of America. All of the operating expenses of the subsidiaries that serve as the Company’s European, Singaporean, Japanese, and Brazilian international distributors are reflected within sales, marketing, and support within the accompanying consolidated statements of operations. All significant intercompany accounts and transactions have been eliminated in consolidation.</w:t>
      </w:r>
    </w:p>
    <w:p>
      <w:pPr>
        <w:spacing w:after="0" w:line="219" w:lineRule="exact"/>
        <w:rPr>
          <w:sz w:val="20"/>
          <w:szCs w:val="20"/>
          <w:color w:val="auto"/>
        </w:rPr>
      </w:pPr>
    </w:p>
    <w:p>
      <w:pPr>
        <w:ind w:left="520" w:hanging="511"/>
        <w:spacing w:after="0"/>
        <w:tabs>
          <w:tab w:leader="none" w:pos="520" w:val="left"/>
        </w:tabs>
        <w:numPr>
          <w:ilvl w:val="0"/>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Significant Estimates and Assumptions and Other Significant Non-Recurring Transactions</w:t>
      </w:r>
    </w:p>
    <w:p>
      <w:pPr>
        <w:spacing w:after="0" w:line="313" w:lineRule="exact"/>
        <w:rPr>
          <w:sz w:val="20"/>
          <w:szCs w:val="20"/>
          <w:color w:val="auto"/>
        </w:rPr>
      </w:pPr>
    </w:p>
    <w:p>
      <w:pPr>
        <w:jc w:val="both"/>
        <w:ind w:firstLine="521"/>
        <w:spacing w:after="0" w:line="28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30"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880" w:h="15480" w:orient="portrait"/>
          <w:cols w:equalWidth="0" w:num="1">
            <w:col w:w="9920"/>
          </w:cols>
          <w:pgMar w:left="980" w:top="334" w:right="98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7" w:lineRule="exact"/>
        <w:rPr>
          <w:sz w:val="20"/>
          <w:szCs w:val="20"/>
          <w:color w:val="auto"/>
        </w:rPr>
      </w:pPr>
    </w:p>
    <w:p>
      <w:pPr>
        <w:ind w:left="540" w:hanging="531"/>
        <w:spacing w:after="0"/>
        <w:tabs>
          <w:tab w:leader="none" w:pos="54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Concentration of Credit Risk and Single Source Suppliers</w:t>
      </w:r>
    </w:p>
    <w:p>
      <w:pPr>
        <w:spacing w:after="0" w:line="313"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i w:val="1"/>
          <w:iCs w:val="1"/>
          <w:color w:val="auto"/>
        </w:rPr>
        <w:t xml:space="preserve">Cash, cash equivalents and marketable securities. </w:t>
      </w:r>
      <w:r>
        <w:rPr>
          <w:rFonts w:ascii="Times New Roman" w:cs="Times New Roman" w:eastAsia="Times New Roman" w:hAnsi="Times New Roman"/>
          <w:sz w:val="19"/>
          <w:szCs w:val="19"/>
          <w:color w:val="auto"/>
        </w:rPr>
        <w:t>The Company is potentially subject to financial instrument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concentration of credit risk through its cash, cash equivalent and marketable securities investments. To mitigate these risks the Company maintains cash, cash equivalents and marketable securities with reputable and nationally recognized financial institutions. As of December 31, 2025, substantially all of the cash and cash equivalents were held by Bank of America, N.A. In the fourth quarter of 2024, the balance of our marketable securities held by Wells Fargo was liquidated and transferred to an interest-bearing account held by Bank of America, N.A.</w:t>
      </w:r>
    </w:p>
    <w:p>
      <w:pPr>
        <w:spacing w:after="0" w:line="220"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i w:val="1"/>
          <w:iCs w:val="1"/>
          <w:color w:val="auto"/>
        </w:rPr>
        <w:t xml:space="preserve">Trade accounts receivable. </w:t>
      </w:r>
      <w:r>
        <w:rPr>
          <w:rFonts w:ascii="Times New Roman" w:cs="Times New Roman" w:eastAsia="Times New Roman" w:hAnsi="Times New Roman"/>
          <w:sz w:val="19"/>
          <w:szCs w:val="19"/>
          <w:color w:val="auto"/>
        </w:rPr>
        <w:t>Concentrations of risk (see Note 11) with respect to trade accounts receivable are generally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potential expected credit losses and evaluates, on a monthly basis, the adequacy of those reserves based upon historical experience and its expectations for future collectability concerns. The Company performs ongoing credit evaluations of the financial condition of its customers and generally does not require collateral.</w:t>
      </w:r>
    </w:p>
    <w:p>
      <w:pPr>
        <w:spacing w:after="0" w:line="225"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The allowance for credit losses is measured on a collective (pool basis) when similar risks characteristics exist. The Company has identified the following portfolio segment and measures the allowance for credit losses using the following method.</w:t>
      </w:r>
    </w:p>
    <w:p>
      <w:pPr>
        <w:spacing w:after="0" w:line="185" w:lineRule="exact"/>
        <w:rPr>
          <w:sz w:val="20"/>
          <w:szCs w:val="20"/>
          <w:color w:val="auto"/>
        </w:rPr>
      </w:pPr>
    </w:p>
    <w:p>
      <w:pPr>
        <w:jc w:val="both"/>
        <w:ind w:firstLine="521"/>
        <w:spacing w:after="0" w:line="264" w:lineRule="exact"/>
        <w:rPr>
          <w:sz w:val="20"/>
          <w:szCs w:val="20"/>
          <w:color w:val="auto"/>
        </w:rPr>
      </w:pPr>
      <w:r>
        <w:rPr>
          <w:rFonts w:ascii="Times New Roman" w:cs="Times New Roman" w:eastAsia="Times New Roman" w:hAnsi="Times New Roman"/>
          <w:sz w:val="19"/>
          <w:szCs w:val="19"/>
          <w:color w:val="auto"/>
        </w:rPr>
        <w:t>Trade receivables - The Company measures expected credit losses on trade receivables using a blended approach that includes both an aging</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based analysis and specific reserves for individual customers. The allowance for credit losses reflects historical payment patterns and past credit loss experience, adjusted for current conditions and forward</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looking expectations regarding customer collectability. The Company also evaluates specific customers with known financial difficulties and records additional reserves when necessary.</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Activity within the Company’s allowance for credit losses for the periods presented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E6E6E6"/>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2025</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364"/>
        </w:trPr>
        <w:tc>
          <w:tcPr>
            <w:tcW w:w="7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Beginning balance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right w:val="single" w:sz="8" w:color="E6E6E6"/>
            </w:tcBorders>
          </w:tcPr>
          <w:p>
            <w:pPr>
              <w:jc w:val="right"/>
              <w:ind w:right="67"/>
              <w:spacing w:after="0"/>
              <w:rPr>
                <w:sz w:val="20"/>
                <w:szCs w:val="20"/>
                <w:color w:val="auto"/>
              </w:rPr>
            </w:pPr>
            <w:r>
              <w:rPr>
                <w:rFonts w:ascii="Times New Roman" w:cs="Times New Roman" w:eastAsia="Times New Roman" w:hAnsi="Times New Roman"/>
                <w:sz w:val="19"/>
                <w:szCs w:val="19"/>
                <w:color w:val="auto"/>
              </w:rPr>
              <w:t>1,006</w:t>
            </w:r>
          </w:p>
        </w:tc>
        <w:tc>
          <w:tcPr>
            <w:tcW w:w="300" w:type="dxa"/>
            <w:vAlign w:val="bottom"/>
            <w:shd w:val="clear" w:color="auto" w:fill="E6E6E6"/>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1,168</w:t>
            </w:r>
          </w:p>
        </w:tc>
      </w:tr>
      <w:tr>
        <w:trPr>
          <w:trHeight w:val="289"/>
        </w:trPr>
        <w:tc>
          <w:tcPr>
            <w:tcW w:w="73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(Reductions) additions</w:t>
            </w:r>
          </w:p>
        </w:tc>
        <w:tc>
          <w:tcPr>
            <w:tcW w:w="300" w:type="dxa"/>
            <w:vAlign w:val="bottom"/>
          </w:tcPr>
          <w:p>
            <w:pPr>
              <w:spacing w:after="0"/>
              <w:rPr>
                <w:sz w:val="24"/>
                <w:szCs w:val="24"/>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(45)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w:t>
            </w:r>
          </w:p>
        </w:tc>
      </w:tr>
      <w:tr>
        <w:trPr>
          <w:trHeight w:val="290"/>
        </w:trPr>
        <w:tc>
          <w:tcPr>
            <w:tcW w:w="732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Deductions (write-offs/recoveries) from reserve</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E6E6E6"/>
            </w:tcBorders>
          </w:tcPr>
          <w:p>
            <w:pPr>
              <w:jc w:val="right"/>
              <w:ind w:right="7"/>
              <w:spacing w:after="0"/>
              <w:rPr>
                <w:sz w:val="20"/>
                <w:szCs w:val="20"/>
                <w:color w:val="auto"/>
              </w:rPr>
            </w:pPr>
            <w:r>
              <w:rPr>
                <w:rFonts w:ascii="Times New Roman" w:cs="Times New Roman" w:eastAsia="Times New Roman" w:hAnsi="Times New Roman"/>
                <w:sz w:val="19"/>
                <w:szCs w:val="19"/>
                <w:color w:val="auto"/>
              </w:rPr>
              <w:t>(249)</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(379)</w:t>
            </w:r>
          </w:p>
        </w:tc>
      </w:tr>
      <w:tr>
        <w:trPr>
          <w:trHeight w:val="271"/>
        </w:trPr>
        <w:tc>
          <w:tcPr>
            <w:tcW w:w="73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Ending balance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712</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1,006</w:t>
            </w:r>
          </w:p>
        </w:tc>
      </w:tr>
      <w:tr>
        <w:trPr>
          <w:trHeight w:val="20"/>
        </w:trPr>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-831850</wp:posOffset>
            </wp:positionV>
            <wp:extent cx="5445125" cy="808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
                      <a:extLst>
                        <a:ext uri="{28A0092B-C50C-407E-A947-70E740481C1C}"/>
                      </a:extLst>
                    </a:blip>
                    <a:srcRect/>
                    <a:stretch>
                      <a:fillRect/>
                    </a:stretch>
                  </pic:blipFill>
                  <pic:spPr bwMode="auto">
                    <a:xfrm>
                      <a:off x="0" y="0"/>
                      <a:ext cx="5445125" cy="808355"/>
                    </a:xfrm>
                    <a:prstGeom prst="rect">
                      <a:avLst/>
                    </a:prstGeom>
                    <a:noFill/>
                  </pic:spPr>
                </pic:pic>
              </a:graphicData>
            </a:graphic>
          </wp:anchor>
        </w:drawing>
      </w:r>
    </w:p>
    <w:p>
      <w:pPr>
        <w:spacing w:after="0" w:line="226"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i w:val="1"/>
          <w:iCs w:val="1"/>
          <w:color w:val="auto"/>
        </w:rPr>
        <w:t xml:space="preserve">Revenue and operations. </w:t>
      </w:r>
      <w:r>
        <w:rPr>
          <w:rFonts w:ascii="Times New Roman" w:cs="Times New Roman" w:eastAsia="Times New Roman" w:hAnsi="Times New Roman"/>
          <w:sz w:val="19"/>
          <w:szCs w:val="19"/>
          <w:color w:val="auto"/>
        </w:rPr>
        <w:t>Certain components from third parties used in the Company’s products are procured from single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sources of supply. The failure of a supplier, including a subcontractor, to deliver on schedule could delay or interrupt the Company’s delivery of products and thereby materially adversely affect the Company’s revenues and operating results.</w:t>
      </w:r>
    </w:p>
    <w:p>
      <w:pPr>
        <w:spacing w:after="0" w:line="209" w:lineRule="exact"/>
        <w:rPr>
          <w:sz w:val="20"/>
          <w:szCs w:val="20"/>
          <w:color w:val="auto"/>
        </w:rPr>
      </w:pPr>
    </w:p>
    <w:p>
      <w:pPr>
        <w:ind w:left="540" w:hanging="530"/>
        <w:spacing w:after="0"/>
        <w:tabs>
          <w:tab w:leader="none" w:pos="54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Revenue Recognition</w:t>
      </w:r>
    </w:p>
    <w:p>
      <w:pPr>
        <w:spacing w:after="0" w:line="313" w:lineRule="exact"/>
        <w:rPr>
          <w:sz w:val="20"/>
          <w:szCs w:val="20"/>
          <w:color w:val="auto"/>
        </w:rPr>
      </w:pPr>
    </w:p>
    <w:p>
      <w:pPr>
        <w:jc w:val="both"/>
        <w:ind w:firstLine="521"/>
        <w:spacing w:after="0" w:line="287" w:lineRule="auto"/>
        <w:rPr>
          <w:sz w:val="20"/>
          <w:szCs w:val="20"/>
          <w:color w:val="auto"/>
        </w:rPr>
      </w:pPr>
      <w:r>
        <w:rPr>
          <w:rFonts w:ascii="Times New Roman" w:cs="Times New Roman" w:eastAsia="Times New Roman" w:hAnsi="Times New Roman"/>
          <w:sz w:val="19"/>
          <w:szCs w:val="19"/>
          <w:color w:val="auto"/>
        </w:rPr>
        <w:t>In accordance with Accounting Standards Codification (ASC) 606, revenue is recognized when a customer obtains control of promised products and services. The amount of revenue recognized reflects the consideration which the Company expects to be entitled to receive in exchange for these products and services. To achieve this core principle, the Company applies the following five steps: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880" w:h="15480" w:orient="portrait"/>
          <w:cols w:equalWidth="0" w:num="1">
            <w:col w:w="9920"/>
          </w:cols>
          <w:pgMar w:left="980" w:top="334" w:right="98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1) Identify the contract with a customer</w:t>
      </w:r>
    </w:p>
    <w:p>
      <w:pPr>
        <w:spacing w:after="0" w:line="311"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A contract with a customer exists when (i) the Company enters into an enforceable contract with a customer that defines each party’s rights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The Company applies judgment in determining the customer’s ability and intention to pay, which is based on a variety of factors, including the customer’s historical payment pattern or, in the case of a new customer, published credit and financial information pertaining to the customer.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 Identify the performance obligations in the contract</w:t>
      </w:r>
    </w:p>
    <w:p>
      <w:pPr>
        <w:spacing w:after="0" w:line="311"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Performance obligations promised in a contract are identified based on the products and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To the extent a contract includes multiple promised products and services, the Company must apply judgment to determine whether promised products and services are capable of being distinct and distinct in the context of the contract. If these criteria are not met, the promised products and services are accounted for as a combined performance obligation.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3) Determine the transaction price</w:t>
      </w:r>
    </w:p>
    <w:p>
      <w:pPr>
        <w:spacing w:after="0" w:line="311"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transaction price is determined based on the consideration to which the Company will be entitled in exchange for transferring products and services to the customer. Amounts collected from customers for sales taxes are excluded from the transaction price.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4) Allocate the transaction price to performance obligations in the contract</w:t>
      </w:r>
    </w:p>
    <w:p>
      <w:pPr>
        <w:spacing w:after="0" w:line="311"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If the contract contains a single performance obligation, the entire transaction price is allocated to the single performance obligation. However, if a series of distinct products or services that are substantially the same qualify as a single performance obligation in a contract with variable consideration, the Company must determine if the variable consideration is attributable to the entire contract or to a specific part of the contract.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product or service that forms part of a single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229" w:lineRule="exact"/>
        <w:rPr>
          <w:sz w:val="20"/>
          <w:szCs w:val="20"/>
          <w:color w:val="auto"/>
        </w:rPr>
      </w:pPr>
    </w:p>
    <w:p>
      <w:pPr>
        <w:ind w:left="220" w:hanging="210"/>
        <w:spacing w:after="0"/>
        <w:tabs>
          <w:tab w:leader="none" w:pos="2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Recognize revenue when or as the Company satisfies a performance obligation</w:t>
      </w:r>
    </w:p>
    <w:p>
      <w:pPr>
        <w:spacing w:after="0" w:line="311" w:lineRule="exact"/>
        <w:rPr>
          <w:sz w:val="20"/>
          <w:szCs w:val="20"/>
          <w:color w:val="auto"/>
        </w:rPr>
      </w:pPr>
    </w:p>
    <w:p>
      <w:pPr>
        <w:ind w:right="20" w:firstLine="521"/>
        <w:spacing w:after="0" w:line="337" w:lineRule="auto"/>
        <w:rPr>
          <w:sz w:val="20"/>
          <w:szCs w:val="20"/>
          <w:color w:val="auto"/>
        </w:rPr>
      </w:pPr>
      <w:r>
        <w:rPr>
          <w:rFonts w:ascii="Times New Roman" w:cs="Times New Roman" w:eastAsia="Times New Roman" w:hAnsi="Times New Roman"/>
          <w:sz w:val="19"/>
          <w:szCs w:val="19"/>
          <w:color w:val="auto"/>
        </w:rPr>
        <w:t>The Company satisfies performance obligations either over time or at a point in time. Revenue is recognized at the time the related performance obligation is satisfied by transferring a promised product or service to a customer.</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0" w:orient="portrait"/>
          <w:cols w:equalWidth="0" w:num="1">
            <w:col w:w="9920"/>
          </w:cols>
          <w:pgMar w:left="980" w:top="334" w:right="98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sales</w:t>
      </w:r>
    </w:p>
    <w:p>
      <w:pPr>
        <w:spacing w:after="0" w:line="311"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Revenue from product sales is recognized when control of the goods is transferred to the customer, which generally occurs upon shipment. Revenue related to shipping and handling is recognized when the products are shipped and the associated costs are accrued for based on the Company’s election to account for shipping and handling activities as a fulfillment of the promise to transfer the products and not as a combined promise.</w:t>
      </w:r>
    </w:p>
    <w:p>
      <w:pPr>
        <w:spacing w:after="0" w:line="21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Company’s standard payment terms for product sales are generally Net 30. Under certain limited conditions, the Company, at its sole discretion, provides for the return of goods. No product is accepted for return and no credit is allowed on any returned product unless the Company has granted and confirmed prior written permission by means of appropriate authorization. The Company establishes reserves for potential sales returns, credits, and allowances, and evaluates, on a monthly basis, the adequacy of those reserves based upon historical experience and expectations for the future.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connectivity and media content service sales</w:t>
      </w:r>
    </w:p>
    <w:p>
      <w:pPr>
        <w:spacing w:after="0" w:line="311" w:lineRule="exact"/>
        <w:rPr>
          <w:sz w:val="20"/>
          <w:szCs w:val="20"/>
          <w:color w:val="auto"/>
        </w:rPr>
      </w:pPr>
    </w:p>
    <w:p>
      <w:pPr>
        <w:jc w:val="both"/>
        <w:ind w:firstLine="521"/>
        <w:spacing w:after="0" w:line="281" w:lineRule="auto"/>
        <w:rPr>
          <w:sz w:val="20"/>
          <w:szCs w:val="20"/>
          <w:color w:val="auto"/>
        </w:rPr>
      </w:pPr>
      <w:r>
        <w:rPr>
          <w:rFonts w:ascii="Times New Roman" w:cs="Times New Roman" w:eastAsia="Times New Roman" w:hAnsi="Times New Roman"/>
          <w:sz w:val="19"/>
          <w:szCs w:val="19"/>
          <w:color w:val="auto"/>
        </w:rPr>
        <w:t>Directly sold and re-sold satellite connectivity service for VoIP, data and Internet is recognized monthly based primarily on contracted fixed-fee schedules as well as any overages for minutes or megabytes of traffic processed. The Company has evaluated whether it obtains control of the services that are being transferred to the customer in assessing gross revenue reporting as principal versus net revenue reporting as agent for its satellite connectivity service sales and its payments to the applicable service providers. Based on the Company’s assessment of the indicators, the Company has determined that gross revenue reporting as a principal is appropriate. The applicable indicators of gross revenue reporting include, but are not limited to, the following:</w:t>
      </w:r>
    </w:p>
    <w:p>
      <w:pPr>
        <w:spacing w:after="0" w:line="200" w:lineRule="exact"/>
        <w:rPr>
          <w:sz w:val="20"/>
          <w:szCs w:val="20"/>
          <w:color w:val="auto"/>
        </w:rPr>
      </w:pPr>
    </w:p>
    <w:p>
      <w:pPr>
        <w:spacing w:after="0" w:line="271" w:lineRule="exact"/>
        <w:rPr>
          <w:sz w:val="20"/>
          <w:szCs w:val="20"/>
          <w:color w:val="auto"/>
        </w:rPr>
      </w:pPr>
    </w:p>
    <w:p>
      <w:pPr>
        <w:jc w:val="both"/>
        <w:ind w:left="700" w:hanging="343"/>
        <w:spacing w:after="0" w:line="303"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the primary obligor in its arrangements with its subscribers. The Company manages all interactions with the subscribers, while satellite connectivity service providers do not interact with the subscribers. In addition, the Company assumes the entire performance risk under its arrangements with the subscribers and in the event of a performance issue, the Company may incur reductions in fees without regard for any recourse that the Company may have with the applicable satellite service providers.</w:t>
      </w:r>
    </w:p>
    <w:p>
      <w:pPr>
        <w:spacing w:after="0" w:line="218" w:lineRule="exact"/>
        <w:rPr>
          <w:rFonts w:ascii="Times New Roman" w:cs="Times New Roman" w:eastAsia="Times New Roman" w:hAnsi="Times New Roman"/>
          <w:sz w:val="19"/>
          <w:szCs w:val="19"/>
          <w:color w:val="auto"/>
        </w:rPr>
      </w:pPr>
    </w:p>
    <w:p>
      <w:pPr>
        <w:jc w:val="both"/>
        <w:ind w:left="700" w:hanging="343"/>
        <w:spacing w:after="0" w:line="314" w:lineRule="auto"/>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discretion in establishing pricing, as the pricing under its arrangements with the subscribers is negotiated through a contracting process. The Company then separately negotiates the fees with the applicable satellite service providers.</w:t>
      </w:r>
    </w:p>
    <w:p>
      <w:pPr>
        <w:spacing w:after="0" w:line="207" w:lineRule="exact"/>
        <w:rPr>
          <w:rFonts w:ascii="Times New Roman" w:cs="Times New Roman" w:eastAsia="Times New Roman" w:hAnsi="Times New Roman"/>
          <w:sz w:val="19"/>
          <w:szCs w:val="19"/>
          <w:color w:val="auto"/>
        </w:rPr>
      </w:pPr>
    </w:p>
    <w:p>
      <w:pPr>
        <w:ind w:left="700" w:hanging="344"/>
        <w:spacing w:after="0"/>
        <w:tabs>
          <w:tab w:leader="none" w:pos="7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complete discretion in determining which satellite service providers it will contract with.</w:t>
      </w:r>
    </w:p>
    <w:p>
      <w:pPr>
        <w:spacing w:after="0" w:line="314"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As a result, the Company has determined that it earns revenue (as a principal) from the delivery of satellite connectivity services to its subscribers and records all satellite connectivity service sales to subscribers as gross sales.</w:t>
      </w:r>
    </w:p>
    <w:p>
      <w:pPr>
        <w:spacing w:after="0" w:line="185"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Media content sales include the Company’s distribution of commercially licensed movies, television programming, news, and music content for commercial and leisure customers in the maritime market. The Company typically recognizes revenue from media content sales ratably over the period of the service contract.</w:t>
      </w:r>
    </w:p>
    <w:p>
      <w:pPr>
        <w:spacing w:after="0" w:line="208" w:lineRule="exact"/>
        <w:rPr>
          <w:sz w:val="20"/>
          <w:szCs w:val="20"/>
          <w:color w:val="auto"/>
        </w:rPr>
      </w:pPr>
    </w:p>
    <w:p>
      <w:pPr>
        <w:jc w:val="both"/>
        <w:ind w:firstLine="521"/>
        <w:spacing w:after="0" w:line="300" w:lineRule="auto"/>
        <w:rPr>
          <w:sz w:val="20"/>
          <w:szCs w:val="20"/>
          <w:color w:val="auto"/>
        </w:rPr>
      </w:pPr>
      <w:r>
        <w:rPr>
          <w:rFonts w:ascii="Times New Roman" w:cs="Times New Roman" w:eastAsia="Times New Roman" w:hAnsi="Times New Roman"/>
          <w:sz w:val="18"/>
          <w:szCs w:val="18"/>
          <w:color w:val="auto"/>
        </w:rPr>
        <w:t>Under AgilePlans, the Company retains ownership of the hardware that it provides to these customers, who must return the hardware to KVH if they decide to terminate the service. Because KVH does not sell the hardware under AgilePlans, the Company does not recognize any product revenue when the hardware is deployed to an AgilePlans customer. In accounting for the related service revenue, the Company has applied the practical expedient allowed under ASC 606-10-55-18 to recognize rental revenues in proportion to the amount of the right to invoice. The Company recognizes the subscription fee monthly as service revenue over the service delivery period. On occasion, a customer may opt to purchase previously deployed AgilePlans hardware</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0" w:orient="portrait"/>
          <w:cols w:equalWidth="0" w:num="1">
            <w:col w:w="9920"/>
          </w:cols>
          <w:pgMar w:left="980" w:top="334" w:right="980" w:bottom="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9"/>
          <w:szCs w:val="19"/>
          <w:color w:val="auto"/>
        </w:rPr>
        <w:t>from the Company. In these instances, the gain or loss on disposal of this revenue generating long-lived asset is recognized within other income/expense in the Company's consolidated statement of operations as per ASC 360-10-45-5.</w:t>
      </w:r>
    </w:p>
    <w:p>
      <w:pPr>
        <w:spacing w:after="0" w:line="167"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Company applies the practical expedient to not adjust the transaction price for a significant financing component if the period between when the Company transfers a promised good or service to a customer and when the customer pays for that good or service is one year or less. The Company also applies the optional exemption to not disclose the transaction price allocated to remaining performance obligations with an original expected duration of one year or less or those where revenue is recognized over time using the right to invoice practical expedient.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service sales</w:t>
      </w:r>
    </w:p>
    <w:p>
      <w:pPr>
        <w:spacing w:after="0" w:line="311"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Product service sales other than under development contracts are recognized when completed services are delivered to the customer. The Company also sells extended warranty contracts. Sales under these contracts are recognized ratably over the contract term. Product service sales including extended warranties are not a significant portion of the Company’s total sales. Revenue related to product service sales is recognized in service sales in the Company's consolidated statement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Deferred revenue</w:t>
      </w:r>
    </w:p>
    <w:p>
      <w:pPr>
        <w:spacing w:after="0" w:line="307" w:lineRule="exact"/>
        <w:rPr>
          <w:sz w:val="20"/>
          <w:szCs w:val="20"/>
          <w:color w:val="auto"/>
        </w:rPr>
      </w:pPr>
    </w:p>
    <w:p>
      <w:pPr>
        <w:jc w:val="both"/>
        <w:ind w:firstLine="521"/>
        <w:spacing w:after="0" w:line="275" w:lineRule="auto"/>
        <w:rPr>
          <w:sz w:val="20"/>
          <w:szCs w:val="20"/>
          <w:color w:val="auto"/>
        </w:rPr>
      </w:pPr>
      <w:r>
        <w:rPr>
          <w:rFonts w:ascii="Times New Roman" w:cs="Times New Roman" w:eastAsia="Times New Roman" w:hAnsi="Times New Roman"/>
          <w:sz w:val="19"/>
          <w:szCs w:val="19"/>
          <w:color w:val="auto"/>
        </w:rPr>
        <w:t>Deferred revenue consist of advance payments and billings in excess of revenue recognized. The Company classifies any billings in excess of revenue recognized as deferred revenue as current or non-current based on the timing of when revenue is expected to be recognized. Revenue recognized during 2025 and 2024 from amounts included in deferred revenue at the beginning of the period was $870 and $1,527,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Sales-type leases</w:t>
      </w:r>
    </w:p>
    <w:p>
      <w:pPr>
        <w:spacing w:after="0" w:line="311" w:lineRule="exact"/>
        <w:rPr>
          <w:sz w:val="20"/>
          <w:szCs w:val="20"/>
          <w:color w:val="auto"/>
        </w:rPr>
      </w:pPr>
    </w:p>
    <w:p>
      <w:pPr>
        <w:jc w:val="both"/>
        <w:ind w:firstLine="695"/>
        <w:spacing w:after="0" w:line="307" w:lineRule="auto"/>
        <w:rPr>
          <w:sz w:val="20"/>
          <w:szCs w:val="20"/>
          <w:color w:val="auto"/>
        </w:rPr>
      </w:pPr>
      <w:r>
        <w:rPr>
          <w:rFonts w:ascii="Times New Roman" w:cs="Times New Roman" w:eastAsia="Times New Roman" w:hAnsi="Times New Roman"/>
          <w:sz w:val="19"/>
          <w:szCs w:val="19"/>
          <w:color w:val="auto"/>
        </w:rPr>
        <w:t>Revenue is recognized on sales-type leases primarily from the TracPhone VSAT products. In accordance with ASC 842,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See Note 14.</w:t>
      </w:r>
    </w:p>
    <w:p>
      <w:pPr>
        <w:spacing w:after="0" w:line="215" w:lineRule="exact"/>
        <w:rPr>
          <w:sz w:val="20"/>
          <w:szCs w:val="20"/>
          <w:color w:val="auto"/>
        </w:rPr>
      </w:pPr>
    </w:p>
    <w:p>
      <w:pPr>
        <w:ind w:left="540" w:hanging="531"/>
        <w:spacing w:after="0"/>
        <w:tabs>
          <w:tab w:leader="none" w:pos="540"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Leases</w:t>
      </w:r>
    </w:p>
    <w:p>
      <w:pPr>
        <w:spacing w:after="0" w:line="313"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In accordance with ASC 842, the Company recognizes all leases greater than one year in duration on the balance sheet as right-of-use assets and lease liabilities. In ASC 842, a lease is defined as follows: “[a] contract is or contains a lease if the contract conveys the right to control the use of identified property, plant, or equipment (an identified asset) for a period of time in exchange for consideration.”</w:t>
      </w:r>
    </w:p>
    <w:p>
      <w:pPr>
        <w:spacing w:after="0" w:line="214"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Many of our lease agreements contain renewal options which are recognized if it is determined that the Company is reasonably certain to renew the lease at inception or when a triggering event occurs. Some of our lease agreements contain rent escalation clauses, rent holidays, capital improvement funding or other lease concessions. The Company recognizes operating lease costs on a straight-line basis based on the fixed components of a lease arrangement and amortize such expense over the term of the lease beginning with the commencement date. Variable lease components that are not fixed at the beginning of the lease are recognized as incurred.</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0" w:orient="portrait"/>
          <w:cols w:equalWidth="0" w:num="1">
            <w:col w:w="9920"/>
          </w:cols>
          <w:pgMar w:left="980" w:top="334" w:right="98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Under certain third-party service agreements, the Company controls a specific space or underlying asset used in providing the service by the third-party service provider. These arrangements meet the definition under ASC 842 and therefore are accounted for under ASC 842. Right-of-use assets and lease liabilities are recognized at commencement date based on the present value of lease payments over the lease term and include options to extend or terminate the lease when reasonably certain to be exercised. The present value of lease payments is determined using an incremental borrowing rate of 5.5%.</w:t>
      </w:r>
    </w:p>
    <w:p>
      <w:pPr>
        <w:spacing w:after="0" w:line="220" w:lineRule="exact"/>
        <w:rPr>
          <w:sz w:val="20"/>
          <w:szCs w:val="20"/>
          <w:color w:val="auto"/>
        </w:rPr>
      </w:pPr>
    </w:p>
    <w:p>
      <w:pPr>
        <w:ind w:left="540" w:hanging="531"/>
        <w:spacing w:after="0"/>
        <w:tabs>
          <w:tab w:leader="none" w:pos="540" w:val="left"/>
        </w:tabs>
        <w:numPr>
          <w:ilvl w:val="0"/>
          <w:numId w:val="1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313"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carrying amounts of the Company’s financial instruments, which include cash equivalents, marketable securities, accounts receivable, accounts payable and accrued expenses, approximate their fair values due to the short maturity of these instruments. See Note 2 for more information on the fair value of the Company’s marketable securities.</w:t>
      </w:r>
    </w:p>
    <w:p>
      <w:pPr>
        <w:spacing w:after="0" w:line="209" w:lineRule="exact"/>
        <w:rPr>
          <w:sz w:val="20"/>
          <w:szCs w:val="20"/>
          <w:color w:val="auto"/>
        </w:rPr>
      </w:pPr>
    </w:p>
    <w:p>
      <w:pPr>
        <w:ind w:left="540" w:hanging="531"/>
        <w:spacing w:after="0"/>
        <w:tabs>
          <w:tab w:leader="none" w:pos="54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Cash, Cash Equivalents, and Marketable Securities</w:t>
      </w:r>
    </w:p>
    <w:p>
      <w:pPr>
        <w:spacing w:after="0" w:line="313"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In the fourth quarter of 2024, the balance of our marketable securities held by Wells Fargo was liquidated and transferred to an interest-bearing account held by Bank of America, N.A. Previously, cash in excess of operational needs was invested in money market mutual funds, government agency bonds, United States treasuries, municipal bonds, corporate notes, or certificates of deposit. All highly liquid investments with a maturity date of three months or less at the date of purchase were classified as cash equivalents. The Company determined the appropriate classification of marketable securities at each balance sheet date.</w:t>
      </w:r>
    </w:p>
    <w:p>
      <w:pPr>
        <w:spacing w:after="0" w:line="219"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Company reviewed investments in debt securities for other than temporary impairment whenever the fair value of an investment was less than amortized cost and evidence indicated that an investment’s carrying amount was not recoverable within a reasonable period of time. To determine whether an impairment was other-than-temporary, the Company considered whether it intended to sell the security, whether it expected to recover the credit loss, and whether it was more likely than not that the Company would be required to sell the security prior to recovery. Evidence considered in this assessment included the reasons for the impairment, compliance with the Company’s investment policy, the severity and duration of the impairment, changes in value subsequent to year-end and forecasted performance of the investee.</w:t>
      </w:r>
    </w:p>
    <w:p>
      <w:pPr>
        <w:spacing w:after="0" w:line="225" w:lineRule="exact"/>
        <w:rPr>
          <w:sz w:val="20"/>
          <w:szCs w:val="20"/>
          <w:color w:val="auto"/>
        </w:rPr>
      </w:pPr>
    </w:p>
    <w:p>
      <w:pPr>
        <w:ind w:left="540" w:hanging="531"/>
        <w:spacing w:after="0"/>
        <w:tabs>
          <w:tab w:leader="none" w:pos="540" w:val="left"/>
        </w:tabs>
        <w:numPr>
          <w:ilvl w:val="0"/>
          <w:numId w:val="1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Inventories</w:t>
      </w:r>
    </w:p>
    <w:p>
      <w:pPr>
        <w:spacing w:after="0" w:line="313" w:lineRule="exact"/>
        <w:rPr>
          <w:sz w:val="20"/>
          <w:szCs w:val="20"/>
          <w:color w:val="auto"/>
        </w:rPr>
      </w:pPr>
    </w:p>
    <w:p>
      <w:pPr>
        <w:jc w:val="both"/>
        <w:ind w:right="20" w:firstLine="521"/>
        <w:spacing w:after="0" w:line="314" w:lineRule="auto"/>
        <w:rPr>
          <w:sz w:val="20"/>
          <w:szCs w:val="20"/>
          <w:color w:val="auto"/>
        </w:rPr>
      </w:pPr>
      <w:r>
        <w:rPr>
          <w:rFonts w:ascii="Times New Roman" w:cs="Times New Roman" w:eastAsia="Times New Roman" w:hAnsi="Times New Roman"/>
          <w:sz w:val="19"/>
          <w:szCs w:val="19"/>
          <w:color w:val="auto"/>
        </w:rPr>
        <w:t>Inventories are stated at the lower of cost and net realizable value using the first-in first-out costing method. The Company adjusts the carrying value of its inventory based on the consideration of excess and obsolete components and future estimated demand. The Company records inventory charges to costs of product sales.</w:t>
      </w:r>
    </w:p>
    <w:p>
      <w:pPr>
        <w:spacing w:after="0" w:line="209" w:lineRule="exact"/>
        <w:rPr>
          <w:sz w:val="20"/>
          <w:szCs w:val="20"/>
          <w:color w:val="auto"/>
        </w:rPr>
      </w:pPr>
    </w:p>
    <w:p>
      <w:pPr>
        <w:ind w:left="540" w:hanging="531"/>
        <w:spacing w:after="0"/>
        <w:tabs>
          <w:tab w:leader="none" w:pos="540" w:val="left"/>
        </w:tabs>
        <w:numPr>
          <w:ilvl w:val="0"/>
          <w:numId w:val="2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Property and Equipment</w:t>
      </w:r>
    </w:p>
    <w:p>
      <w:pPr>
        <w:spacing w:after="0" w:line="313" w:lineRule="exact"/>
        <w:rPr>
          <w:sz w:val="20"/>
          <w:szCs w:val="20"/>
          <w:color w:val="auto"/>
        </w:rPr>
      </w:pPr>
    </w:p>
    <w:p>
      <w:pPr>
        <w:jc w:val="both"/>
        <w:ind w:right="20" w:firstLine="521"/>
        <w:spacing w:after="0" w:line="303" w:lineRule="auto"/>
        <w:rPr>
          <w:sz w:val="20"/>
          <w:szCs w:val="20"/>
          <w:color w:val="auto"/>
        </w:rPr>
      </w:pPr>
      <w:r>
        <w:rPr>
          <w:rFonts w:ascii="Times New Roman" w:cs="Times New Roman" w:eastAsia="Times New Roman" w:hAnsi="Times New Roman"/>
          <w:sz w:val="19"/>
          <w:szCs w:val="19"/>
          <w:color w:val="auto"/>
        </w:rPr>
        <w:t>Property and equipment are stated at cost, net of accumulated depreciation and amortization. Depreciation and amortization are computed on the straight-line method over the estimated useful lives of the respective assets. The principal lives used in determining the depreciation rates of various assets are: buildings and improvements, 5-40 years; leasehold improvements, shorter of original lease term or useful life; machinery, satellite hubs and equipment, 4-10 years; office and computer equipment, 3-7 years; and motor vehicles, 5 years.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0" w:orient="portrait"/>
          <w:cols w:equalWidth="0" w:num="1">
            <w:col w:w="9920"/>
          </w:cols>
          <w:pgMar w:left="980" w:top="334" w:right="98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7" w:lineRule="exact"/>
        <w:rPr>
          <w:sz w:val="20"/>
          <w:szCs w:val="20"/>
          <w:color w:val="auto"/>
        </w:rPr>
      </w:pPr>
    </w:p>
    <w:p>
      <w:pPr>
        <w:ind w:left="540" w:hanging="531"/>
        <w:spacing w:after="0"/>
        <w:tabs>
          <w:tab w:leader="none" w:pos="540"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Goodwill, Intangible Assets and other Long-Lived Assets</w:t>
      </w:r>
    </w:p>
    <w:p>
      <w:pPr>
        <w:spacing w:after="0" w:line="313" w:lineRule="exact"/>
        <w:rPr>
          <w:sz w:val="20"/>
          <w:szCs w:val="20"/>
          <w:color w:val="auto"/>
        </w:rPr>
      </w:pPr>
    </w:p>
    <w:p>
      <w:pPr>
        <w:jc w:val="both"/>
        <w:ind w:firstLine="521"/>
        <w:spacing w:after="0" w:line="284" w:lineRule="auto"/>
        <w:rPr>
          <w:sz w:val="20"/>
          <w:szCs w:val="20"/>
          <w:color w:val="auto"/>
        </w:rPr>
      </w:pPr>
      <w:r>
        <w:rPr>
          <w:rFonts w:ascii="Times New Roman" w:cs="Times New Roman" w:eastAsia="Times New Roman" w:hAnsi="Times New Roman"/>
          <w:sz w:val="19"/>
          <w:szCs w:val="19"/>
          <w:color w:val="auto"/>
        </w:rPr>
        <w:t>As of December 31, 2025, the Company's intangible assets arose primarily from the purchase of the maritime satellite service business of a satellite services provider operating in the Asia-Pacific region in October 2025, the purchase of distribution rights from Kognitive Networks Inc. in October 2023 and the purchase of Virtek Communications (now known as KVH Industries Norway AS) in September 2010. As of December 31, 2025, the Company's goodwill is associated with the purchase of the maritime satellite service business of a satellite services provider operating in the Asia-Pacific region in October 2025.</w:t>
      </w:r>
    </w:p>
    <w:p>
      <w:pPr>
        <w:spacing w:after="0" w:line="217"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the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2024, the Company recorded an impairment charge of $1,137 to long-lived assets. See Note 5 for additional details.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impairment charges to long-lived assets were recorded in 2025.</w:t>
      </w:r>
    </w:p>
    <w:p>
      <w:pPr>
        <w:spacing w:after="0" w:line="316" w:lineRule="exact"/>
        <w:rPr>
          <w:sz w:val="20"/>
          <w:szCs w:val="20"/>
          <w:color w:val="auto"/>
        </w:rPr>
      </w:pPr>
    </w:p>
    <w:p>
      <w:pPr>
        <w:ind w:left="540" w:hanging="530"/>
        <w:spacing w:after="0"/>
        <w:tabs>
          <w:tab w:leader="none" w:pos="540" w:val="left"/>
        </w:tabs>
        <w:numPr>
          <w:ilvl w:val="0"/>
          <w:numId w:val="2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Other Non-Current Assets</w:t>
      </w:r>
    </w:p>
    <w:p>
      <w:pPr>
        <w:spacing w:after="0" w:line="312" w:lineRule="exact"/>
        <w:rPr>
          <w:rFonts w:ascii="Times New Roman" w:cs="Times New Roman" w:eastAsia="Times New Roman" w:hAnsi="Times New Roman"/>
          <w:sz w:val="19"/>
          <w:szCs w:val="19"/>
          <w:b w:val="1"/>
          <w:bCs w:val="1"/>
          <w:i w:val="1"/>
          <w:iCs w:val="1"/>
          <w:color w:val="auto"/>
        </w:rPr>
      </w:pPr>
    </w:p>
    <w:p>
      <w:pPr>
        <w:ind w:left="540"/>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Other non-current assets are primarily comprised of long-term lease receivables.</w:t>
      </w:r>
    </w:p>
    <w:p>
      <w:pPr>
        <w:spacing w:after="0" w:line="315" w:lineRule="exact"/>
        <w:rPr>
          <w:rFonts w:ascii="Times New Roman" w:cs="Times New Roman" w:eastAsia="Times New Roman" w:hAnsi="Times New Roman"/>
          <w:sz w:val="19"/>
          <w:szCs w:val="19"/>
          <w:b w:val="1"/>
          <w:bCs w:val="1"/>
          <w:i w:val="1"/>
          <w:iCs w:val="1"/>
          <w:color w:val="auto"/>
        </w:rPr>
      </w:pPr>
    </w:p>
    <w:p>
      <w:pPr>
        <w:ind w:left="540" w:hanging="531"/>
        <w:spacing w:after="0"/>
        <w:tabs>
          <w:tab w:leader="none" w:pos="540" w:val="left"/>
        </w:tabs>
        <w:numPr>
          <w:ilvl w:val="0"/>
          <w:numId w:val="2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Product Warranty</w:t>
      </w:r>
    </w:p>
    <w:p>
      <w:pPr>
        <w:spacing w:after="0" w:line="313" w:lineRule="exact"/>
        <w:rPr>
          <w:sz w:val="20"/>
          <w:szCs w:val="20"/>
          <w:color w:val="auto"/>
        </w:rPr>
      </w:pPr>
    </w:p>
    <w:p>
      <w:pPr>
        <w:jc w:val="both"/>
        <w:ind w:firstLine="522"/>
        <w:spacing w:after="0" w:line="298" w:lineRule="auto"/>
        <w:rPr>
          <w:sz w:val="20"/>
          <w:szCs w:val="20"/>
          <w:color w:val="auto"/>
        </w:rPr>
      </w:pPr>
      <w:r>
        <w:rPr>
          <w:rFonts w:ascii="Times New Roman" w:cs="Times New Roman" w:eastAsia="Times New Roman" w:hAnsi="Times New Roman"/>
          <w:sz w:val="19"/>
          <w:szCs w:val="19"/>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December 31, 2025 and 2024, the Company had accrued product warranty costs of $644 and $607, respectively. The following table summarizes product warranty activity during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50"/>
        </w:trPr>
        <w:tc>
          <w:tcPr>
            <w:tcW w:w="6940" w:type="dxa"/>
            <w:vAlign w:val="bottom"/>
            <w:tcBorders>
              <w:top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Beginning balance</w:t>
            </w:r>
          </w:p>
        </w:tc>
        <w:tc>
          <w:tcPr>
            <w:tcW w:w="960" w:type="dxa"/>
            <w:vAlign w:val="bottom"/>
            <w:tcBorders>
              <w:top w:val="single" w:sz="8" w:color="E6E6E6"/>
            </w:tcBorders>
            <w:shd w:val="clear" w:color="auto" w:fill="E6E6E6"/>
          </w:tcPr>
          <w:p>
            <w:pPr>
              <w:jc w:val="right"/>
              <w:ind w:right="710"/>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607</w:t>
            </w: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60" w:type="dxa"/>
            <w:vAlign w:val="bottom"/>
            <w:tcBorders>
              <w:top w:val="single" w:sz="8" w:color="E6E6E6"/>
            </w:tcBorders>
            <w:shd w:val="clear" w:color="auto" w:fill="E6E6E6"/>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828</w:t>
            </w:r>
          </w:p>
        </w:tc>
        <w:tc>
          <w:tcPr>
            <w:tcW w:w="0" w:type="dxa"/>
            <w:vAlign w:val="bottom"/>
          </w:tcPr>
          <w:p>
            <w:pPr>
              <w:spacing w:after="0"/>
              <w:rPr>
                <w:sz w:val="1"/>
                <w:szCs w:val="1"/>
                <w:color w:val="auto"/>
              </w:rPr>
            </w:pPr>
          </w:p>
        </w:tc>
      </w:tr>
      <w:tr>
        <w:trPr>
          <w:trHeight w:val="290"/>
        </w:trPr>
        <w:tc>
          <w:tcPr>
            <w:tcW w:w="69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Charges to expense</w:t>
            </w: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665</w:t>
            </w:r>
          </w:p>
        </w:tc>
        <w:tc>
          <w:tcPr>
            <w:tcW w:w="0" w:type="dxa"/>
            <w:vAlign w:val="bottom"/>
          </w:tcPr>
          <w:p>
            <w:pPr>
              <w:spacing w:after="0"/>
              <w:rPr>
                <w:sz w:val="1"/>
                <w:szCs w:val="1"/>
                <w:color w:val="auto"/>
              </w:rPr>
            </w:pPr>
          </w:p>
        </w:tc>
      </w:tr>
      <w:tr>
        <w:trPr>
          <w:trHeight w:val="289"/>
        </w:trPr>
        <w:tc>
          <w:tcPr>
            <w:tcW w:w="694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Costs incurred</w:t>
            </w:r>
          </w:p>
        </w:tc>
        <w:tc>
          <w:tcPr>
            <w:tcW w:w="960" w:type="dxa"/>
            <w:vAlign w:val="bottom"/>
            <w:tcBorders>
              <w:bottom w:val="single" w:sz="8" w:color="auto"/>
            </w:tcBorders>
            <w:shd w:val="clear" w:color="auto" w:fill="E6E6E6"/>
          </w:tcPr>
          <w:p>
            <w:pPr>
              <w:spacing w:after="0"/>
              <w:rPr>
                <w:sz w:val="24"/>
                <w:szCs w:val="24"/>
                <w:color w:val="auto"/>
              </w:rPr>
            </w:pPr>
          </w:p>
        </w:tc>
        <w:tc>
          <w:tcPr>
            <w:tcW w:w="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(589)</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1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(886)</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Ending balance</w:t>
            </w:r>
          </w:p>
        </w:tc>
        <w:tc>
          <w:tcPr>
            <w:tcW w:w="960" w:type="dxa"/>
            <w:vAlign w:val="bottom"/>
            <w:vMerge w:val="restart"/>
          </w:tcPr>
          <w:p>
            <w:pPr>
              <w:jc w:val="right"/>
              <w:ind w:right="710"/>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644</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607</w:t>
            </w:r>
          </w:p>
        </w:tc>
        <w:tc>
          <w:tcPr>
            <w:tcW w:w="0" w:type="dxa"/>
            <w:vAlign w:val="bottom"/>
          </w:tcPr>
          <w:p>
            <w:pPr>
              <w:spacing w:after="0" w:line="20" w:lineRule="exact"/>
              <w:rPr>
                <w:sz w:val="1"/>
                <w:szCs w:val="1"/>
                <w:color w:val="auto"/>
              </w:rPr>
            </w:pPr>
          </w:p>
        </w:tc>
      </w:tr>
      <w:tr>
        <w:trPr>
          <w:trHeight w:val="251"/>
        </w:trPr>
        <w:tc>
          <w:tcPr>
            <w:tcW w:w="6940" w:type="dxa"/>
            <w:vAlign w:val="bottom"/>
            <w:gridSpan w:val="2"/>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-213995</wp:posOffset>
                </wp:positionV>
                <wp:extent cx="440309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03090"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6.8499pt" to="347.15pt,-16.8499pt" o:allowincell="f" strokecolor="#FFFFFF" strokeweight="0.985pt"/>
            </w:pict>
          </mc:Fallback>
        </mc:AlternateContent>
      </w:r>
    </w:p>
    <w:p>
      <w:pPr>
        <w:spacing w:after="0" w:line="227" w:lineRule="exact"/>
        <w:rPr>
          <w:sz w:val="20"/>
          <w:szCs w:val="20"/>
          <w:color w:val="auto"/>
        </w:rPr>
      </w:pPr>
    </w:p>
    <w:p>
      <w:pPr>
        <w:ind w:left="540" w:hanging="531"/>
        <w:spacing w:after="0"/>
        <w:tabs>
          <w:tab w:leader="none" w:pos="540" w:val="left"/>
        </w:tabs>
        <w:numPr>
          <w:ilvl w:val="0"/>
          <w:numId w:val="2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Shipping and Handling Costs</w:t>
      </w:r>
    </w:p>
    <w:p>
      <w:pPr>
        <w:spacing w:after="0" w:line="278" w:lineRule="exact"/>
        <w:rPr>
          <w:sz w:val="20"/>
          <w:szCs w:val="20"/>
          <w:color w:val="auto"/>
        </w:rPr>
      </w:pPr>
    </w:p>
    <w:p>
      <w:pPr>
        <w:ind w:right="20" w:firstLine="521"/>
        <w:spacing w:after="0" w:line="337" w:lineRule="auto"/>
        <w:rPr>
          <w:sz w:val="20"/>
          <w:szCs w:val="20"/>
          <w:color w:val="auto"/>
        </w:rPr>
      </w:pPr>
      <w:r>
        <w:rPr>
          <w:rFonts w:ascii="Times New Roman" w:cs="Times New Roman" w:eastAsia="Times New Roman" w:hAnsi="Times New Roman"/>
          <w:sz w:val="19"/>
          <w:szCs w:val="19"/>
          <w:color w:val="auto"/>
        </w:rPr>
        <w:t>Shipping and handling costs are expensed as incurred and included in cost of sales. Billings for shipping and handling are reflected within net sales in the accompanying consolidated statements of operations.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0" w:orient="portrait"/>
          <w:cols w:equalWidth="0" w:num="1">
            <w:col w:w="9920"/>
          </w:cols>
          <w:pgMar w:left="980" w:top="334" w:right="980"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7" w:lineRule="exact"/>
        <w:rPr>
          <w:sz w:val="20"/>
          <w:szCs w:val="20"/>
          <w:color w:val="auto"/>
        </w:rPr>
      </w:pPr>
    </w:p>
    <w:p>
      <w:pPr>
        <w:ind w:left="540" w:hanging="531"/>
        <w:spacing w:after="0"/>
        <w:tabs>
          <w:tab w:leader="none" w:pos="540" w:val="left"/>
        </w:tabs>
        <w:numPr>
          <w:ilvl w:val="0"/>
          <w:numId w:val="2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Research and Development</w:t>
      </w:r>
    </w:p>
    <w:p>
      <w:pPr>
        <w:spacing w:after="0" w:line="312" w:lineRule="exact"/>
        <w:rPr>
          <w:rFonts w:ascii="Times New Roman" w:cs="Times New Roman" w:eastAsia="Times New Roman" w:hAnsi="Times New Roman"/>
          <w:sz w:val="19"/>
          <w:szCs w:val="19"/>
          <w:b w:val="1"/>
          <w:bCs w:val="1"/>
          <w:i w:val="1"/>
          <w:iCs w:val="1"/>
          <w:color w:val="auto"/>
        </w:rPr>
      </w:pPr>
    </w:p>
    <w:p>
      <w:pPr>
        <w:ind w:left="540"/>
        <w:spacing w:after="0"/>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Expenditures for research and development are expensed as incurred.</w:t>
      </w:r>
    </w:p>
    <w:p>
      <w:pPr>
        <w:spacing w:after="0" w:line="315" w:lineRule="exact"/>
        <w:rPr>
          <w:rFonts w:ascii="Times New Roman" w:cs="Times New Roman" w:eastAsia="Times New Roman" w:hAnsi="Times New Roman"/>
          <w:sz w:val="19"/>
          <w:szCs w:val="19"/>
          <w:b w:val="1"/>
          <w:bCs w:val="1"/>
          <w:i w:val="1"/>
          <w:iCs w:val="1"/>
          <w:color w:val="auto"/>
        </w:rPr>
      </w:pPr>
    </w:p>
    <w:p>
      <w:pPr>
        <w:ind w:left="540" w:hanging="531"/>
        <w:spacing w:after="0"/>
        <w:tabs>
          <w:tab w:leader="none" w:pos="540" w:val="left"/>
        </w:tabs>
        <w:numPr>
          <w:ilvl w:val="0"/>
          <w:numId w:val="2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Advertising Costs</w:t>
      </w:r>
    </w:p>
    <w:p>
      <w:pPr>
        <w:spacing w:after="0" w:line="313"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Costs related to advertising are expensed as incurred. Advertising expense was $498 and $491 for the years ended December 31, 2025 and 2024, respectively, and is included in sales, marketing, and support expense in the accompanying consolidated statements of operations.</w:t>
      </w:r>
    </w:p>
    <w:p>
      <w:pPr>
        <w:spacing w:after="0" w:line="209" w:lineRule="exact"/>
        <w:rPr>
          <w:sz w:val="20"/>
          <w:szCs w:val="20"/>
          <w:color w:val="auto"/>
        </w:rPr>
      </w:pPr>
    </w:p>
    <w:p>
      <w:pPr>
        <w:ind w:left="540" w:hanging="530"/>
        <w:spacing w:after="0"/>
        <w:tabs>
          <w:tab w:leader="none" w:pos="540" w:val="left"/>
        </w:tabs>
        <w:numPr>
          <w:ilvl w:val="0"/>
          <w:numId w:val="2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Foreign Currency Translation and Transaction</w:t>
      </w:r>
    </w:p>
    <w:p>
      <w:pPr>
        <w:spacing w:after="0" w:line="313"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financial statements of the Company’s foreign subsidiaries located in Denmark, Singapore, Brazil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For the years ended December 31, 2025 and 2024, the Company recorded a total of net foreign currency exchange gains and losses, which are comprised of both realized and unrealized foreign currency exchange gains and losses, in its accompanying consolidated statements of operations $8 and $(493), respectively.</w:t>
      </w:r>
    </w:p>
    <w:p>
      <w:pPr>
        <w:spacing w:after="0" w:line="225"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220" w:lineRule="exact"/>
        <w:rPr>
          <w:sz w:val="20"/>
          <w:szCs w:val="20"/>
          <w:color w:val="auto"/>
        </w:rPr>
      </w:pPr>
    </w:p>
    <w:p>
      <w:pPr>
        <w:ind w:left="540" w:hanging="531"/>
        <w:spacing w:after="0"/>
        <w:tabs>
          <w:tab w:leader="none" w:pos="540"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Income Taxes</w:t>
      </w:r>
    </w:p>
    <w:p>
      <w:pPr>
        <w:spacing w:after="0" w:line="313"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 xml:space="preserve">The Company is subject to income taxes in the U.S. and in numerous foreign jurisdictions. The Company accounts for income taxes following ASC Topic 740, </w:t>
      </w:r>
      <w:r>
        <w:rPr>
          <w:rFonts w:ascii="Times New Roman" w:cs="Times New Roman" w:eastAsia="Times New Roman" w:hAnsi="Times New Roman"/>
          <w:sz w:val="19"/>
          <w:szCs w:val="19"/>
          <w:i w:val="1"/>
          <w:iCs w:val="1"/>
          <w:color w:val="auto"/>
        </w:rPr>
        <w:t>Accounting for Income Taxes.</w:t>
      </w:r>
    </w:p>
    <w:p>
      <w:pPr>
        <w:spacing w:after="0" w:line="185"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 Deferred tax assets are reduced by a valuation allowance if it is more likely than not that some or all of a deferred tax asset will not be realized. 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226"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The effect on deferred tax assets and liabilities of a change in tax rates is recognized in income in the period that includes the enactment date. The Company recognizes interest and penalties within the income tax expense line in the accompanying consolidated statements of operations. Accrued interest and penalties are included within the related tax liability line in the consolidated balance sheets. See Note 8 for further discussion of income taxes.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0" w:orient="portrait"/>
          <w:cols w:equalWidth="0" w:num="1">
            <w:col w:w="9920"/>
          </w:cols>
          <w:pgMar w:left="980" w:top="334" w:right="98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7" w:lineRule="exact"/>
        <w:rPr>
          <w:sz w:val="20"/>
          <w:szCs w:val="20"/>
          <w:color w:val="auto"/>
        </w:rPr>
      </w:pPr>
    </w:p>
    <w:p>
      <w:pPr>
        <w:ind w:left="540" w:hanging="531"/>
        <w:spacing w:after="0"/>
        <w:tabs>
          <w:tab w:leader="none" w:pos="540" w:val="left"/>
        </w:tabs>
        <w:numPr>
          <w:ilvl w:val="0"/>
          <w:numId w:val="2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Net Loss per Common Share</w:t>
      </w:r>
    </w:p>
    <w:p>
      <w:pPr>
        <w:spacing w:after="0" w:line="313" w:lineRule="exact"/>
        <w:rPr>
          <w:sz w:val="20"/>
          <w:szCs w:val="20"/>
          <w:color w:val="auto"/>
        </w:rPr>
      </w:pPr>
    </w:p>
    <w:p>
      <w:pPr>
        <w:jc w:val="both"/>
        <w:ind w:firstLine="522"/>
        <w:spacing w:after="0" w:line="301" w:lineRule="auto"/>
        <w:rPr>
          <w:sz w:val="20"/>
          <w:szCs w:val="20"/>
          <w:color w:val="auto"/>
        </w:rPr>
      </w:pPr>
      <w:r>
        <w:rPr>
          <w:rFonts w:ascii="Times New Roman" w:cs="Times New Roman" w:eastAsia="Times New Roman" w:hAnsi="Times New Roman"/>
          <w:sz w:val="19"/>
          <w:szCs w:val="19"/>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in accordance with the treasury stock accounting method. For the years ended December 31, 2025 and 2024 since there was a net loss, the Company excluded all 1,228 and 987 shares, respectively, in outstanding stock options and non-vested restricted shares from its diluted loss per share calculation, as inclusion of these securities would have reduced the net loss per share.</w:t>
      </w:r>
    </w:p>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 reconciliation of the basic and diluted weighted average common shares outstanding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5"/>
        </w:trPr>
        <w:tc>
          <w:tcPr>
            <w:tcW w:w="60" w:type="dxa"/>
            <w:vAlign w:val="bottom"/>
            <w:tcBorders>
              <w:bottom w:val="single" w:sz="8" w:color="E6E6E6"/>
            </w:tcBorders>
          </w:tcPr>
          <w:p>
            <w:pPr>
              <w:spacing w:after="0"/>
              <w:rPr>
                <w:sz w:val="19"/>
                <w:szCs w:val="19"/>
                <w:color w:val="auto"/>
              </w:rPr>
            </w:pPr>
          </w:p>
        </w:tc>
        <w:tc>
          <w:tcPr>
            <w:tcW w:w="68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312"/>
        </w:trPr>
        <w:tc>
          <w:tcPr>
            <w:tcW w:w="60" w:type="dxa"/>
            <w:vAlign w:val="bottom"/>
            <w:shd w:val="clear" w:color="auto" w:fill="E6E6E6"/>
          </w:tcPr>
          <w:p>
            <w:pPr>
              <w:spacing w:after="0"/>
              <w:rPr>
                <w:sz w:val="24"/>
                <w:szCs w:val="24"/>
                <w:color w:val="auto"/>
              </w:rPr>
            </w:pPr>
          </w:p>
        </w:tc>
        <w:tc>
          <w:tcPr>
            <w:tcW w:w="686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Weighted average common shares outstanding—basic</w:t>
            </w:r>
          </w:p>
        </w:tc>
        <w:tc>
          <w:tcPr>
            <w:tcW w:w="20" w:type="dxa"/>
            <w:vAlign w:val="bottom"/>
            <w:shd w:val="clear" w:color="auto" w:fill="E6E6E6"/>
          </w:tcPr>
          <w:p>
            <w:pPr>
              <w:spacing w:after="0"/>
              <w:rPr>
                <w:sz w:val="24"/>
                <w:szCs w:val="24"/>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19,398</w:t>
            </w: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5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19,389</w:t>
            </w:r>
          </w:p>
        </w:tc>
      </w:tr>
      <w:tr>
        <w:trPr>
          <w:trHeight w:val="383"/>
        </w:trPr>
        <w:tc>
          <w:tcPr>
            <w:tcW w:w="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Dilutive common shares issuable in connection with stock plans</w:t>
            </w:r>
          </w:p>
        </w:tc>
        <w:tc>
          <w:tcPr>
            <w:tcW w:w="2020" w:type="dxa"/>
            <w:vAlign w:val="bottom"/>
            <w:gridSpan w:val="4"/>
          </w:tcPr>
          <w:p>
            <w:pPr>
              <w:jc w:val="right"/>
              <w:ind w:right="6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60" w:type="dxa"/>
            <w:vAlign w:val="bottom"/>
            <w:tcBorders>
              <w:top w:val="single" w:sz="8" w:color="E6E6E6"/>
            </w:tcBorders>
            <w:shd w:val="clear" w:color="auto" w:fill="E6E6E6"/>
          </w:tcPr>
          <w:p>
            <w:pPr>
              <w:spacing w:after="0"/>
              <w:rPr>
                <w:sz w:val="24"/>
                <w:szCs w:val="24"/>
                <w:color w:val="auto"/>
              </w:rPr>
            </w:pPr>
          </w:p>
        </w:tc>
        <w:tc>
          <w:tcPr>
            <w:tcW w:w="686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auto"/>
              </w:rPr>
              <w:t>Weighted average common shares outstanding—diluted</w:t>
            </w: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4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19,398</w:t>
            </w:r>
          </w:p>
        </w:tc>
        <w:tc>
          <w:tcPr>
            <w:tcW w:w="40" w:type="dxa"/>
            <w:vAlign w:val="bottom"/>
            <w:tcBorders>
              <w:top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500" w:type="dxa"/>
            <w:vAlign w:val="bottom"/>
            <w:tcBorders>
              <w:top w:val="single" w:sz="8" w:color="auto"/>
              <w:bottom w:val="single" w:sz="8" w:color="auto"/>
            </w:tcBorders>
            <w:shd w:val="clear" w:color="auto" w:fill="E6E6E6"/>
          </w:tcPr>
          <w:p>
            <w:pPr>
              <w:spacing w:after="0"/>
              <w:rPr>
                <w:sz w:val="24"/>
                <w:szCs w:val="24"/>
                <w:color w:val="auto"/>
              </w:rPr>
            </w:pPr>
          </w:p>
        </w:tc>
        <w:tc>
          <w:tcPr>
            <w:tcW w:w="9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19,389</w:t>
            </w:r>
          </w:p>
        </w:tc>
      </w:tr>
      <w:tr>
        <w:trPr>
          <w:trHeight w:val="20"/>
        </w:trPr>
        <w:tc>
          <w:tcPr>
            <w:tcW w:w="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540" w:hanging="530"/>
        <w:spacing w:after="0"/>
        <w:tabs>
          <w:tab w:leader="none" w:pos="540" w:val="left"/>
        </w:tabs>
        <w:numPr>
          <w:ilvl w:val="0"/>
          <w:numId w:val="2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Contingent Liabilities</w:t>
      </w:r>
    </w:p>
    <w:p>
      <w:pPr>
        <w:spacing w:after="0" w:line="313"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 xml:space="preserve">The Company estimates the amount of potential exposure it may have with respect to claims, assessments and litigation in accordance with ASC 450, </w:t>
      </w:r>
      <w:r>
        <w:rPr>
          <w:rFonts w:ascii="Times New Roman" w:cs="Times New Roman" w:eastAsia="Times New Roman" w:hAnsi="Times New Roman"/>
          <w:sz w:val="19"/>
          <w:szCs w:val="19"/>
          <w:i w:val="1"/>
          <w:iCs w:val="1"/>
          <w:color w:val="auto"/>
        </w:rPr>
        <w:t>Contingencies</w:t>
      </w:r>
      <w:r>
        <w:rPr>
          <w:rFonts w:ascii="Times New Roman" w:cs="Times New Roman" w:eastAsia="Times New Roman" w:hAnsi="Times New Roman"/>
          <w:sz w:val="19"/>
          <w:szCs w:val="19"/>
          <w:color w:val="auto"/>
        </w:rPr>
        <w:t>. As of December 31, 2025 and 2024, the Company was not party to any lawsuit or proceeding that, in management's opinion, was likely to materially harm the Company’s business, results of operations, financial condition or cash flows. It is not always possible to predict the outcome of litigation, as it is subject to many uncertainties. Additionally, it is not always possible for management to make meaningful estimates of the potential loss or range of loss associated with such litigation.</w:t>
      </w:r>
    </w:p>
    <w:p>
      <w:pPr>
        <w:spacing w:after="0" w:line="222" w:lineRule="exact"/>
        <w:rPr>
          <w:sz w:val="20"/>
          <w:szCs w:val="20"/>
          <w:color w:val="auto"/>
        </w:rPr>
      </w:pPr>
    </w:p>
    <w:p>
      <w:pPr>
        <w:ind w:left="540" w:hanging="530"/>
        <w:spacing w:after="0"/>
        <w:tabs>
          <w:tab w:leader="none" w:pos="540" w:val="left"/>
        </w:tabs>
        <w:numPr>
          <w:ilvl w:val="0"/>
          <w:numId w:val="2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Operating Segments</w:t>
      </w:r>
    </w:p>
    <w:p>
      <w:pPr>
        <w:spacing w:after="0" w:line="313"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The Company operates in one reportable segment. Operating segments are identified as components of an enterprise about which separate discrete financial information is available for evaluation by the chief operating decision maker in making decisions regarding resource allocation and assessing performance. The Company’s chief operating decision maker is its President, Chief Executive Officer and Director.</w:t>
      </w:r>
    </w:p>
    <w:p>
      <w:pPr>
        <w:spacing w:after="0" w:line="214" w:lineRule="exact"/>
        <w:rPr>
          <w:sz w:val="20"/>
          <w:szCs w:val="20"/>
          <w:color w:val="auto"/>
        </w:rPr>
      </w:pPr>
    </w:p>
    <w:p>
      <w:pPr>
        <w:jc w:val="both"/>
        <w:ind w:firstLine="521"/>
        <w:spacing w:after="0" w:line="288" w:lineRule="auto"/>
        <w:rPr>
          <w:sz w:val="20"/>
          <w:szCs w:val="20"/>
          <w:color w:val="auto"/>
        </w:rPr>
      </w:pPr>
      <w:r>
        <w:rPr>
          <w:rFonts w:ascii="Times New Roman" w:cs="Times New Roman" w:eastAsia="Times New Roman" w:hAnsi="Times New Roman"/>
          <w:sz w:val="19"/>
          <w:szCs w:val="19"/>
          <w:color w:val="auto"/>
        </w:rPr>
        <w:t>The Company operates in a number of major geographic areas, including internationally. Revenues are generated from international locations, primarily consisting of Singapore, Canada, South American countries, European Union countries and other European countries, and countries in Africa, the Middle East and Asia/Pacific, including India (see Note 11, “</w:t>
      </w:r>
      <w:r>
        <w:rPr>
          <w:rFonts w:ascii="Times New Roman" w:cs="Times New Roman" w:eastAsia="Times New Roman" w:hAnsi="Times New Roman"/>
          <w:sz w:val="19"/>
          <w:szCs w:val="19"/>
          <w:i w:val="1"/>
          <w:iCs w:val="1"/>
          <w:color w:val="auto"/>
        </w:rPr>
        <w:t>Revenue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Contracts with Customers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540" w:hanging="530"/>
        <w:spacing w:after="0"/>
        <w:tabs>
          <w:tab w:leader="none" w:pos="540" w:val="left"/>
        </w:tabs>
        <w:numPr>
          <w:ilvl w:val="0"/>
          <w:numId w:val="3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Recently Issued Accounting Standards</w:t>
      </w:r>
    </w:p>
    <w:p>
      <w:pPr>
        <w:spacing w:after="0" w:line="313"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From time to time, new accounting pronouncements are issued by the Financial Accounting Standards Board, or FASB, or other standard setting bodies. Recently issued standards typically do not require adoption until a future effective date. Prior to their effective date, the Company evaluates the pronouncements to determine the potential effects of adoption on our consolidated financial statements.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0" w:orient="portrait"/>
          <w:cols w:equalWidth="0" w:num="1">
            <w:col w:w="9920"/>
          </w:cols>
          <w:pgMar w:left="980" w:top="334" w:right="98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Standards Implemented</w:t>
      </w:r>
    </w:p>
    <w:p>
      <w:pPr>
        <w:spacing w:after="0" w:line="314"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In December 2023, the Financial Accounting Standards Board (FASB) issued Accounting Standards Update (ASU) No. 2023-09, Income Taxes (Topic 740): Improvements to Income Tax Disclosures. The amendments in this ASU apply to all entities that are subject to Topic 740, Income Taxes. The amendments require public business entities to disclose specific categories in their tax rate reconciliation and provide additional information for reconciling items that meet a quantitative threshold. These amendments also require all entities to disclose income taxes paid, net of refunds received, disaggregated by federal, state, and foreign taxes and by individual jurisdictions in which income taxes paid, net of refunds received, are equal to or greater than five percent of total income taxes paid. The Company adopted ASU 2023-09 on a prospective basis for the year ended December 31, 2025. The adoption of ASU No. 2023-09 did not have a material impact on the Company’s financial statements, including disclosures.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Standards to be Implemented</w:t>
      </w:r>
    </w:p>
    <w:p>
      <w:pPr>
        <w:spacing w:after="0" w:line="315"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208"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There are no other recent accounting pronouncements that have been issued by the FASB that are not yet effective that the Company expects would have a material impact on the Company’s financial statements, including disclosures.</w:t>
      </w:r>
    </w:p>
    <w:p>
      <w:pPr>
        <w:spacing w:after="0" w:line="182" w:lineRule="exact"/>
        <w:rPr>
          <w:sz w:val="20"/>
          <w:szCs w:val="20"/>
          <w:color w:val="auto"/>
        </w:rPr>
      </w:pPr>
    </w:p>
    <w:p>
      <w:pPr>
        <w:ind w:left="700" w:hanging="691"/>
        <w:spacing w:after="0"/>
        <w:tabs>
          <w:tab w:leader="none" w:pos="70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Marketable Securities</w:t>
      </w:r>
    </w:p>
    <w:p>
      <w:pPr>
        <w:spacing w:after="0" w:line="200" w:lineRule="exact"/>
        <w:rPr>
          <w:sz w:val="20"/>
          <w:szCs w:val="20"/>
          <w:color w:val="auto"/>
        </w:rPr>
      </w:pPr>
    </w:p>
    <w:p>
      <w:pPr>
        <w:spacing w:after="0" w:line="291"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In the fourth quarter of 2024, the balance of the Company's marketable securities held by Wells Fargo was liquidated and transferred to an interest-bearing account held by Bank of America, N.A. Interest income from marketable securities was $0 and $1,990 for the years ended December 31, 2025 and 2024, respectively.</w:t>
      </w:r>
    </w:p>
    <w:p>
      <w:pPr>
        <w:spacing w:after="0" w:line="378" w:lineRule="exact"/>
        <w:rPr>
          <w:sz w:val="20"/>
          <w:szCs w:val="20"/>
          <w:color w:val="auto"/>
        </w:rPr>
      </w:pPr>
    </w:p>
    <w:p>
      <w:pPr>
        <w:ind w:left="700" w:hanging="691"/>
        <w:spacing w:after="0"/>
        <w:tabs>
          <w:tab w:leader="none" w:pos="700"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Inventories</w:t>
      </w:r>
    </w:p>
    <w:p>
      <w:pPr>
        <w:spacing w:after="0" w:line="317" w:lineRule="exact"/>
        <w:rPr>
          <w:sz w:val="20"/>
          <w:szCs w:val="20"/>
          <w:color w:val="auto"/>
        </w:rPr>
      </w:pPr>
    </w:p>
    <w:p>
      <w:pPr>
        <w:jc w:val="both"/>
        <w:ind w:firstLine="521"/>
        <w:spacing w:after="0" w:line="295" w:lineRule="auto"/>
        <w:rPr>
          <w:sz w:val="20"/>
          <w:szCs w:val="20"/>
          <w:color w:val="auto"/>
        </w:rPr>
      </w:pPr>
      <w:r>
        <w:rPr>
          <w:rFonts w:ascii="Times New Roman" w:cs="Times New Roman" w:eastAsia="Times New Roman" w:hAnsi="Times New Roman"/>
          <w:sz w:val="19"/>
          <w:szCs w:val="19"/>
          <w:color w:val="auto"/>
        </w:rPr>
        <w:t>Inventories are stated at the lower of cost or net realizable value using the first-in first-out costing method. Inventories as of December 31, 2025 and 2024 include the costs of material, labor, and factory overhead. Components of inventories consist of the following:</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25"/>
        </w:trPr>
        <w:tc>
          <w:tcPr>
            <w:tcW w:w="684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5"/>
                <w:szCs w:val="15"/>
                <w:b w:val="1"/>
                <w:bCs w:val="1"/>
                <w:color w:val="auto"/>
              </w:rPr>
              <w:t>2025</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70"/>
        </w:trPr>
        <w:tc>
          <w:tcPr>
            <w:tcW w:w="6840" w:type="dxa"/>
            <w:vAlign w:val="bottom"/>
            <w:tcBorders>
              <w:right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Raw materials</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right w:val="single" w:sz="8" w:color="E6E6E6"/>
            </w:tcBorders>
          </w:tcPr>
          <w:p>
            <w:pPr>
              <w:jc w:val="right"/>
              <w:ind w:right="50"/>
              <w:spacing w:after="0"/>
              <w:rPr>
                <w:sz w:val="20"/>
                <w:szCs w:val="20"/>
                <w:color w:val="auto"/>
              </w:rPr>
            </w:pPr>
            <w:r>
              <w:rPr>
                <w:rFonts w:ascii="Times New Roman" w:cs="Times New Roman" w:eastAsia="Times New Roman" w:hAnsi="Times New Roman"/>
                <w:sz w:val="19"/>
                <w:szCs w:val="19"/>
                <w:color w:val="auto"/>
              </w:rPr>
              <w:t>6,455</w:t>
            </w:r>
          </w:p>
        </w:tc>
        <w:tc>
          <w:tcPr>
            <w:tcW w:w="500" w:type="dxa"/>
            <w:vAlign w:val="bottom"/>
            <w:shd w:val="clear" w:color="auto" w:fill="E6E6E6"/>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15,379</w:t>
            </w:r>
          </w:p>
        </w:tc>
      </w:tr>
      <w:tr>
        <w:trPr>
          <w:trHeight w:val="289"/>
        </w:trPr>
        <w:tc>
          <w:tcPr>
            <w:tcW w:w="6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Work in process</w:t>
            </w:r>
          </w:p>
        </w:tc>
        <w:tc>
          <w:tcPr>
            <w:tcW w:w="36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9"/>
                <w:szCs w:val="19"/>
                <w:color w:val="auto"/>
              </w:rPr>
              <w:t>2,264</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2,469</w:t>
            </w:r>
          </w:p>
        </w:tc>
      </w:tr>
      <w:tr>
        <w:trPr>
          <w:trHeight w:val="364"/>
        </w:trPr>
        <w:tc>
          <w:tcPr>
            <w:tcW w:w="6840" w:type="dxa"/>
            <w:vAlign w:val="bottom"/>
            <w:tcBorders>
              <w:right w:val="single" w:sz="8" w:color="E6E6E6"/>
            </w:tcBorders>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Finished goods</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E6E6E6"/>
            </w:tcBorders>
          </w:tcPr>
          <w:p>
            <w:pPr>
              <w:jc w:val="right"/>
              <w:ind w:right="50"/>
              <w:spacing w:after="0"/>
              <w:rPr>
                <w:sz w:val="20"/>
                <w:szCs w:val="20"/>
                <w:color w:val="auto"/>
              </w:rPr>
            </w:pPr>
            <w:r>
              <w:rPr>
                <w:rFonts w:ascii="Times New Roman" w:cs="Times New Roman" w:eastAsia="Times New Roman" w:hAnsi="Times New Roman"/>
                <w:sz w:val="19"/>
                <w:szCs w:val="19"/>
                <w:color w:val="auto"/>
              </w:rPr>
              <w:t>6,140</w:t>
            </w:r>
          </w:p>
        </w:tc>
        <w:tc>
          <w:tcPr>
            <w:tcW w:w="5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5,105</w:t>
            </w:r>
          </w:p>
        </w:tc>
      </w:tr>
      <w:tr>
        <w:trPr>
          <w:trHeight w:val="271"/>
        </w:trPr>
        <w:tc>
          <w:tcPr>
            <w:tcW w:w="6840" w:type="dxa"/>
            <w:vAlign w:val="bottom"/>
          </w:tcPr>
          <w:p>
            <w:pPr>
              <w:spacing w:after="0"/>
              <w:rPr>
                <w:sz w:val="23"/>
                <w:szCs w:val="23"/>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9"/>
                <w:szCs w:val="19"/>
                <w:color w:val="auto"/>
              </w:rPr>
              <w:t>14,859</w:t>
            </w:r>
          </w:p>
        </w:tc>
        <w:tc>
          <w:tcPr>
            <w:tcW w:w="50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22,953</w:t>
            </w:r>
          </w:p>
        </w:tc>
      </w:tr>
      <w:tr>
        <w:trPr>
          <w:trHeight w:val="20"/>
        </w:trPr>
        <w:tc>
          <w:tcPr>
            <w:tcW w:w="6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-819150</wp:posOffset>
            </wp:positionV>
            <wp:extent cx="6231890" cy="796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
                      <a:extLst>
                        <a:ext uri="{28A0092B-C50C-407E-A947-70E740481C1C}"/>
                      </a:extLst>
                    </a:blip>
                    <a:srcRect/>
                    <a:stretch>
                      <a:fillRect/>
                    </a:stretch>
                  </pic:blipFill>
                  <pic:spPr bwMode="auto">
                    <a:xfrm>
                      <a:off x="0" y="0"/>
                      <a:ext cx="6231890" cy="796290"/>
                    </a:xfrm>
                    <a:prstGeom prst="rect">
                      <a:avLst/>
                    </a:prstGeom>
                    <a:noFill/>
                  </pic:spPr>
                </pic:pic>
              </a:graphicData>
            </a:graphic>
          </wp:anchor>
        </w:drawing>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0" w:orient="portrait"/>
          <w:cols w:equalWidth="0" w:num="1">
            <w:col w:w="9920"/>
          </w:cols>
          <w:pgMar w:left="980" w:top="334" w:right="98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In 2025, the Company recorded a $5,510 inventory write-down related primarily to further reduced demand for certain of the Company’s hardware products as well as a reduction in the prices the Company charges for certain TracNet H-series terminals. The Company implemented this price reduction at the end of the third quarter of 2025 and, as a result, reduced the value of its remaining inventory of those products to net realizable value based on lower customer pricing. Please see Note 15 for additional details surrounding the wind-down of the Company’s manufacturing activities.</w:t>
      </w:r>
    </w:p>
    <w:p>
      <w:pPr>
        <w:spacing w:after="0" w:line="216" w:lineRule="exact"/>
        <w:rPr>
          <w:sz w:val="20"/>
          <w:szCs w:val="20"/>
          <w:color w:val="auto"/>
        </w:rPr>
      </w:pPr>
    </w:p>
    <w:p>
      <w:pPr>
        <w:ind w:left="700" w:hanging="691"/>
        <w:spacing w:after="0"/>
        <w:tabs>
          <w:tab w:leader="none" w:pos="700"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Prepaid Expenses and Other Current Assets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20" w:type="dxa"/>
            <w:vAlign w:val="bottom"/>
            <w:tcBorders>
              <w:bottom w:val="single" w:sz="8" w:color="auto"/>
            </w:tcBorders>
          </w:tcPr>
          <w:p>
            <w:pPr>
              <w:spacing w:after="0"/>
              <w:rPr>
                <w:sz w:val="16"/>
                <w:szCs w:val="16"/>
                <w:color w:val="auto"/>
              </w:rPr>
            </w:pPr>
          </w:p>
        </w:tc>
      </w:tr>
      <w:tr>
        <w:trPr>
          <w:trHeight w:val="227"/>
        </w:trPr>
        <w:tc>
          <w:tcPr>
            <w:tcW w:w="5980" w:type="dxa"/>
            <w:vAlign w:val="bottom"/>
            <w:tcBorders>
              <w:bottom w:val="single" w:sz="8" w:color="E6E6E6"/>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329"/>
        </w:trPr>
        <w:tc>
          <w:tcPr>
            <w:tcW w:w="598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Prepaid Starlink pooled data</w:t>
            </w:r>
          </w:p>
        </w:tc>
        <w:tc>
          <w:tcPr>
            <w:tcW w:w="1260" w:type="dxa"/>
            <w:vAlign w:val="bottom"/>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2,936</w:t>
            </w:r>
          </w:p>
        </w:tc>
        <w:tc>
          <w:tcPr>
            <w:tcW w:w="80" w:type="dxa"/>
            <w:vAlign w:val="bottom"/>
            <w:shd w:val="clear" w:color="auto" w:fill="E6E6E6"/>
          </w:tcPr>
          <w:p>
            <w:pPr>
              <w:spacing w:after="0"/>
              <w:rPr>
                <w:sz w:val="24"/>
                <w:szCs w:val="24"/>
                <w:color w:val="auto"/>
              </w:rPr>
            </w:pPr>
          </w:p>
        </w:tc>
        <w:tc>
          <w:tcPr>
            <w:tcW w:w="620" w:type="dxa"/>
            <w:vAlign w:val="bottom"/>
            <w:shd w:val="clear" w:color="auto" w:fill="E6E6E6"/>
          </w:tcPr>
          <w:p>
            <w:pPr>
              <w:jc w:val="right"/>
              <w:ind w:right="363"/>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14,137</w:t>
            </w:r>
          </w:p>
        </w:tc>
      </w:tr>
      <w:tr>
        <w:trPr>
          <w:trHeight w:val="354"/>
        </w:trPr>
        <w:tc>
          <w:tcPr>
            <w:tcW w:w="598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9"/>
                <w:szCs w:val="19"/>
                <w:color w:val="auto"/>
              </w:rPr>
              <w:t>Other prepaid expenses and other current assets</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5,044</w:t>
            </w:r>
          </w:p>
        </w:tc>
        <w:tc>
          <w:tcPr>
            <w:tcW w:w="80" w:type="dxa"/>
            <w:vAlign w:val="bottom"/>
            <w:tcBorders>
              <w:bottom w:val="single" w:sz="8" w:color="E6E6E6"/>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1,879</w:t>
            </w:r>
          </w:p>
        </w:tc>
      </w:tr>
      <w:tr>
        <w:trPr>
          <w:trHeight w:val="237"/>
        </w:trPr>
        <w:tc>
          <w:tcPr>
            <w:tcW w:w="5980" w:type="dxa"/>
            <w:vAlign w:val="bottom"/>
            <w:tcBorders>
              <w:top w:val="single" w:sz="8" w:color="E6E6E6"/>
              <w:right w:val="single" w:sz="8" w:color="E6E6E6"/>
            </w:tcBorders>
            <w:shd w:val="clear" w:color="auto" w:fill="E6E6E6"/>
          </w:tcPr>
          <w:p>
            <w:pPr>
              <w:spacing w:after="0"/>
              <w:rPr>
                <w:sz w:val="20"/>
                <w:szCs w:val="20"/>
                <w:color w:val="auto"/>
              </w:rPr>
            </w:pPr>
          </w:p>
        </w:tc>
        <w:tc>
          <w:tcPr>
            <w:tcW w:w="1260" w:type="dxa"/>
            <w:vAlign w:val="bottom"/>
            <w:tcBorders>
              <w:top w:val="single" w:sz="8" w:color="E6E6E6"/>
              <w:bottom w:val="single" w:sz="8" w:color="auto"/>
            </w:tcBorders>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Borders>
              <w:top w:val="single" w:sz="8" w:color="E6E6E6"/>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7,980</w:t>
            </w:r>
          </w:p>
        </w:tc>
        <w:tc>
          <w:tcPr>
            <w:tcW w:w="80" w:type="dxa"/>
            <w:vAlign w:val="bottom"/>
            <w:tcBorders>
              <w:top w:val="single" w:sz="8" w:color="E6E6E6"/>
            </w:tcBorders>
            <w:shd w:val="clear" w:color="auto" w:fill="E6E6E6"/>
          </w:tcPr>
          <w:p>
            <w:pPr>
              <w:spacing w:after="0"/>
              <w:rPr>
                <w:sz w:val="20"/>
                <w:szCs w:val="20"/>
                <w:color w:val="auto"/>
              </w:rPr>
            </w:pPr>
          </w:p>
        </w:tc>
        <w:tc>
          <w:tcPr>
            <w:tcW w:w="620" w:type="dxa"/>
            <w:vAlign w:val="bottom"/>
            <w:tcBorders>
              <w:top w:val="single" w:sz="8" w:color="E6E6E6"/>
              <w:bottom w:val="single" w:sz="8" w:color="auto"/>
            </w:tcBorders>
            <w:shd w:val="clear" w:color="auto" w:fill="E6E6E6"/>
          </w:tcPr>
          <w:p>
            <w:pPr>
              <w:jc w:val="right"/>
              <w:ind w:right="363"/>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16,016</w:t>
            </w:r>
          </w:p>
        </w:tc>
      </w:tr>
      <w:tr>
        <w:trPr>
          <w:trHeight w:val="20"/>
        </w:trPr>
        <w:tc>
          <w:tcPr>
            <w:tcW w:w="5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-641985</wp:posOffset>
            </wp:positionV>
            <wp:extent cx="1245235" cy="619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
                      <a:extLst>
                        <a:ext uri="{28A0092B-C50C-407E-A947-70E740481C1C}"/>
                      </a:extLst>
                    </a:blip>
                    <a:srcRect/>
                    <a:stretch>
                      <a:fillRect/>
                    </a:stretch>
                  </pic:blipFill>
                  <pic:spPr bwMode="auto">
                    <a:xfrm>
                      <a:off x="0" y="0"/>
                      <a:ext cx="1245235" cy="619125"/>
                    </a:xfrm>
                    <a:prstGeom prst="rect">
                      <a:avLst/>
                    </a:prstGeom>
                    <a:noFill/>
                  </pic:spPr>
                </pic:pic>
              </a:graphicData>
            </a:graphic>
          </wp:anchor>
        </w:drawing>
      </w:r>
    </w:p>
    <w:p>
      <w:pPr>
        <w:spacing w:after="0" w:line="22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During the second quarter of 2024, KVH expanded its relationship with Starlink through a bulk data distribution agreement. Under the agreement, KVH prepaid $17.0 million for access to a large block of Starlink Global Priority data at favorable rates. The agreement provided KVH flexibility in the development and sales of custom, cost-effective airtime plans using Starlink’s Global Priority service. KVH began drawing from this prepaid pooled data in the third quarter of 2024 and this data was fully consumed by the end of 2025. In the fourth quarter of 2025, KVH entered into an agreement to purchase a substantially larger block of Starlink Global Priority data for $45.0 million in an effort to improve margins. In the fourth quarter, KVH made a prepayment of $5.0 million related to this agreement.</w:t>
      </w:r>
    </w:p>
    <w:p>
      <w:pPr>
        <w:spacing w:after="0" w:line="222" w:lineRule="exact"/>
        <w:rPr>
          <w:sz w:val="20"/>
          <w:szCs w:val="20"/>
          <w:color w:val="auto"/>
        </w:rPr>
      </w:pPr>
    </w:p>
    <w:p>
      <w:pPr>
        <w:ind w:left="700" w:hanging="690"/>
        <w:spacing w:after="0"/>
        <w:tabs>
          <w:tab w:leader="none" w:pos="70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and Equipment</w:t>
      </w:r>
    </w:p>
    <w:p>
      <w:pPr>
        <w:spacing w:after="0" w:line="3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Property and equipment, net, as of December 31, 2025 and 2024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5"/>
        </w:trPr>
        <w:tc>
          <w:tcPr>
            <w:tcW w:w="684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69"/>
        </w:trPr>
        <w:tc>
          <w:tcPr>
            <w:tcW w:w="684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Leasehold improvements</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1,036</w:t>
            </w:r>
          </w:p>
        </w:tc>
        <w:tc>
          <w:tcPr>
            <w:tcW w:w="580" w:type="dxa"/>
            <w:vAlign w:val="bottom"/>
            <w:gridSpan w:val="3"/>
            <w:shd w:val="clear" w:color="auto" w:fill="E6E6E6"/>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336</w:t>
            </w:r>
          </w:p>
        </w:tc>
      </w:tr>
      <w:tr>
        <w:trPr>
          <w:trHeight w:val="35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Revenue-generating assets</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61,380</w:t>
            </w:r>
          </w:p>
        </w:tc>
      </w:tr>
      <w:tr>
        <w:trPr>
          <w:trHeight w:val="353"/>
        </w:trPr>
        <w:tc>
          <w:tcPr>
            <w:tcW w:w="684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Machinery and equipment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6,021</w:t>
            </w:r>
          </w:p>
        </w:tc>
      </w:tr>
      <w:tr>
        <w:trPr>
          <w:trHeight w:val="312"/>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Office and computer equipment</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8,038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10,561</w:t>
            </w:r>
          </w:p>
        </w:tc>
      </w:tr>
      <w:tr>
        <w:trPr>
          <w:trHeight w:val="290"/>
        </w:trPr>
        <w:tc>
          <w:tcPr>
            <w:tcW w:w="684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Motor vehicles</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269"/>
        </w:trPr>
        <w:tc>
          <w:tcPr>
            <w:tcW w:w="6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69,313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78,329</w:t>
            </w:r>
          </w:p>
        </w:tc>
      </w:tr>
      <w:tr>
        <w:trPr>
          <w:trHeight w:val="290"/>
        </w:trPr>
        <w:tc>
          <w:tcPr>
            <w:tcW w:w="684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(47,281)</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8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(51,315)</w:t>
            </w:r>
          </w:p>
        </w:tc>
      </w:tr>
      <w:tr>
        <w:trPr>
          <w:trHeight w:val="271"/>
        </w:trPr>
        <w:tc>
          <w:tcPr>
            <w:tcW w:w="6840" w:type="dxa"/>
            <w:vAlign w:val="bottom"/>
          </w:tcPr>
          <w:p>
            <w:pPr>
              <w:spacing w:after="0"/>
              <w:rPr>
                <w:sz w:val="23"/>
                <w:szCs w:val="23"/>
                <w:color w:val="auto"/>
              </w:rPr>
            </w:pP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22,032</w:t>
            </w:r>
          </w:p>
        </w:tc>
        <w:tc>
          <w:tcPr>
            <w:tcW w:w="580" w:type="dxa"/>
            <w:vAlign w:val="bottom"/>
            <w:gridSpan w:val="3"/>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27,014</w:t>
            </w:r>
          </w:p>
        </w:tc>
      </w:tr>
      <w:tr>
        <w:trPr>
          <w:trHeight w:val="20"/>
        </w:trPr>
        <w:tc>
          <w:tcPr>
            <w:tcW w:w="6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-1606550</wp:posOffset>
            </wp:positionV>
            <wp:extent cx="6231890" cy="1583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
                      <a:extLst>
                        <a:ext uri="{28A0092B-C50C-407E-A947-70E740481C1C}"/>
                      </a:extLst>
                    </a:blip>
                    <a:srcRect/>
                    <a:stretch>
                      <a:fillRect/>
                    </a:stretch>
                  </pic:blipFill>
                  <pic:spPr bwMode="auto">
                    <a:xfrm>
                      <a:off x="0" y="0"/>
                      <a:ext cx="6231890" cy="1583055"/>
                    </a:xfrm>
                    <a:prstGeom prst="rect">
                      <a:avLst/>
                    </a:prstGeom>
                    <a:noFill/>
                  </pic:spPr>
                </pic:pic>
              </a:graphicData>
            </a:graphic>
          </wp:anchor>
        </w:drawing>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Depreciation expense for the years ended December 31, 2025 and 2024 amounted to $10,177 and $12,891, respectively.</w:t>
      </w:r>
    </w:p>
    <w:p>
      <w:pPr>
        <w:spacing w:after="0" w:line="314" w:lineRule="exact"/>
        <w:rPr>
          <w:sz w:val="20"/>
          <w:szCs w:val="20"/>
          <w:color w:val="auto"/>
        </w:rPr>
      </w:pPr>
    </w:p>
    <w:p>
      <w:pPr>
        <w:ind w:firstLine="521"/>
        <w:spacing w:after="0" w:line="337" w:lineRule="auto"/>
        <w:rPr>
          <w:sz w:val="20"/>
          <w:szCs w:val="20"/>
          <w:color w:val="auto"/>
        </w:rPr>
      </w:pPr>
      <w:r>
        <w:rPr>
          <w:rFonts w:ascii="Times New Roman" w:cs="Times New Roman" w:eastAsia="Times New Roman" w:hAnsi="Times New Roman"/>
          <w:sz w:val="19"/>
          <w:szCs w:val="19"/>
          <w:color w:val="auto"/>
        </w:rPr>
        <w:t>Certain revenue-generating hardware assets are utilized by the Company in the delivery of the Company’s airtime services, media, and other content.</w:t>
      </w:r>
    </w:p>
    <w:p>
      <w:pPr>
        <w:spacing w:after="0" w:line="185" w:lineRule="exact"/>
        <w:rPr>
          <w:sz w:val="20"/>
          <w:szCs w:val="20"/>
          <w:color w:val="auto"/>
        </w:rPr>
      </w:pPr>
    </w:p>
    <w:p>
      <w:pPr>
        <w:ind w:firstLine="521"/>
        <w:spacing w:after="0" w:line="337" w:lineRule="auto"/>
        <w:rPr>
          <w:sz w:val="20"/>
          <w:szCs w:val="20"/>
          <w:color w:val="auto"/>
        </w:rPr>
      </w:pPr>
      <w:r>
        <w:rPr>
          <w:rFonts w:ascii="Times New Roman" w:cs="Times New Roman" w:eastAsia="Times New Roman" w:hAnsi="Times New Roman"/>
          <w:sz w:val="19"/>
          <w:szCs w:val="19"/>
          <w:color w:val="auto"/>
        </w:rPr>
        <w:t>As of December 31, 2025 and 2024, the long-lived tangible assets related to the Company’s international subsidiaries were less than 10% of the Company’s long-lived tangible assets.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0" w:orient="portrait"/>
          <w:cols w:equalWidth="0" w:num="1">
            <w:col w:w="9920"/>
          </w:cols>
          <w:pgMar w:left="980" w:top="334" w:right="980" w:bottom="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ind w:firstLine="521"/>
        <w:spacing w:after="0" w:line="297" w:lineRule="auto"/>
        <w:rPr>
          <w:sz w:val="20"/>
          <w:szCs w:val="20"/>
          <w:color w:val="auto"/>
        </w:rPr>
      </w:pPr>
      <w:r>
        <w:rPr>
          <w:rFonts w:ascii="Times New Roman" w:cs="Times New Roman" w:eastAsia="Times New Roman" w:hAnsi="Times New Roman"/>
          <w:sz w:val="19"/>
          <w:szCs w:val="19"/>
          <w:color w:val="auto"/>
        </w:rPr>
        <w:t>In the third quarter of 2024, the Company commenced its plan to sell the warehouse building and surface parking lot located at 75 Enterprise Center in Middletown, Rhode Island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in 2024, as the carrying value of 75 Enterprise Center at the time the asset for sale criteria were met exceeded the fair value less costs to sell. The sale was completed in September 2025, resulting in a loss of $0.3 million, which is included in other income (expense), net in the Company's consolidated statement of operations for the year ended December 31, 2025. The Company also entered into an agreement with the buyer to lease this property until the end of March 2026 for approximately $0.1 million.</w:t>
      </w:r>
    </w:p>
    <w:p>
      <w:pPr>
        <w:spacing w:after="0" w:line="22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Additionally, in the third quarter of 2024, the Company commenced its plan to sell the property, building, improvements, and land located at 50 Enterprise Center in Middletown, Rhode Island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at that date exceeded its carrying value. In March 2025, the Company entered into an agreement with a buyer to sell 50 Enterprise Center for $5.3 million. The sale was completed in June 2025, resulting in a gain of $1.3 million, which is included in other income (expense), net in the Company's consolidated statement of operations for the year ended December 31, 2025.</w:t>
      </w:r>
    </w:p>
    <w:p>
      <w:pPr>
        <w:spacing w:after="0" w:line="222" w:lineRule="exact"/>
        <w:rPr>
          <w:sz w:val="20"/>
          <w:szCs w:val="20"/>
          <w:color w:val="auto"/>
        </w:rPr>
      </w:pPr>
    </w:p>
    <w:p>
      <w:pPr>
        <w:ind w:left="700" w:hanging="691"/>
        <w:spacing w:after="0"/>
        <w:tabs>
          <w:tab w:leader="none" w:pos="70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317" w:lineRule="exact"/>
        <w:rPr>
          <w:sz w:val="20"/>
          <w:szCs w:val="20"/>
          <w:color w:val="auto"/>
        </w:rPr>
      </w:pPr>
    </w:p>
    <w:p>
      <w:pPr>
        <w:jc w:val="both"/>
        <w:ind w:right="120" w:firstLine="521"/>
        <w:spacing w:after="0" w:line="314" w:lineRule="auto"/>
        <w:rPr>
          <w:sz w:val="20"/>
          <w:szCs w:val="20"/>
          <w:color w:val="auto"/>
        </w:rPr>
      </w:pPr>
      <w:r>
        <w:rPr>
          <w:rFonts w:ascii="Times New Roman" w:cs="Times New Roman" w:eastAsia="Times New Roman" w:hAnsi="Times New Roman"/>
          <w:sz w:val="19"/>
          <w:szCs w:val="19"/>
          <w:color w:val="auto"/>
        </w:rPr>
        <w:t>The Company has certain operating leases and other commitments for satellite capacity, inventory, equipment, facilities, software and technology. The following reflects future minimum payments under operating leases and other commitments that have initial or remaining non-cancelable terms at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 w:type="dxa"/>
            <w:vAlign w:val="bottom"/>
          </w:tcPr>
          <w:p>
            <w:pPr>
              <w:spacing w:after="0"/>
              <w:rPr>
                <w:sz w:val="15"/>
                <w:szCs w:val="15"/>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260" w:type="dxa"/>
            <w:vAlign w:val="bottom"/>
          </w:tcPr>
          <w:p>
            <w:pPr>
              <w:spacing w:after="0"/>
              <w:rPr>
                <w:sz w:val="15"/>
                <w:szCs w:val="15"/>
                <w:color w:val="auto"/>
              </w:rPr>
            </w:pPr>
          </w:p>
        </w:tc>
        <w:tc>
          <w:tcPr>
            <w:tcW w:w="1660" w:type="dxa"/>
            <w:vAlign w:val="bottom"/>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Commitments (a)</w:t>
            </w:r>
          </w:p>
        </w:tc>
      </w:tr>
      <w:tr>
        <w:trPr>
          <w:trHeight w:val="51"/>
        </w:trPr>
        <w:tc>
          <w:tcPr>
            <w:tcW w:w="60" w:type="dxa"/>
            <w:vAlign w:val="bottom"/>
            <w:tcBorders>
              <w:bottom w:val="single" w:sz="8" w:color="E6E6E6"/>
            </w:tcBorders>
          </w:tcPr>
          <w:p>
            <w:pPr>
              <w:spacing w:after="0"/>
              <w:rPr>
                <w:sz w:val="4"/>
                <w:szCs w:val="4"/>
                <w:color w:val="auto"/>
              </w:rPr>
            </w:pPr>
          </w:p>
        </w:tc>
        <w:tc>
          <w:tcPr>
            <w:tcW w:w="1800" w:type="dxa"/>
            <w:vAlign w:val="bottom"/>
            <w:tcBorders>
              <w:top w:val="single" w:sz="8" w:color="auto"/>
              <w:bottom w:val="single" w:sz="8" w:color="E6E6E6"/>
            </w:tcBorders>
          </w:tcPr>
          <w:p>
            <w:pPr>
              <w:spacing w:after="0"/>
              <w:rPr>
                <w:sz w:val="4"/>
                <w:szCs w:val="4"/>
                <w:color w:val="auto"/>
              </w:rPr>
            </w:pPr>
          </w:p>
        </w:tc>
        <w:tc>
          <w:tcPr>
            <w:tcW w:w="6080" w:type="dxa"/>
            <w:vAlign w:val="bottom"/>
            <w:tcBorders>
              <w:bottom w:val="single" w:sz="8" w:color="E6E6E6"/>
            </w:tcBorders>
          </w:tcPr>
          <w:p>
            <w:pPr>
              <w:spacing w:after="0"/>
              <w:rPr>
                <w:sz w:val="4"/>
                <w:szCs w:val="4"/>
                <w:color w:val="auto"/>
              </w:rPr>
            </w:pPr>
          </w:p>
        </w:tc>
        <w:tc>
          <w:tcPr>
            <w:tcW w:w="20" w:type="dxa"/>
            <w:vAlign w:val="bottom"/>
            <w:tcBorders>
              <w:bottom w:val="single" w:sz="8" w:color="E6E6E6"/>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18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auto"/>
              </w:rPr>
              <w:t>2026</w:t>
            </w:r>
          </w:p>
        </w:tc>
        <w:tc>
          <w:tcPr>
            <w:tcW w:w="608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E6E6E6"/>
            </w:tcBorders>
            <w:shd w:val="clear" w:color="auto" w:fill="E6E6E6"/>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54,336</w:t>
            </w:r>
          </w:p>
        </w:tc>
      </w:tr>
      <w:tr>
        <w:trPr>
          <w:trHeight w:val="290"/>
        </w:trPr>
        <w:tc>
          <w:tcPr>
            <w:tcW w:w="6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14,139</w:t>
            </w:r>
          </w:p>
        </w:tc>
      </w:tr>
      <w:tr>
        <w:trPr>
          <w:trHeight w:val="289"/>
        </w:trPr>
        <w:tc>
          <w:tcPr>
            <w:tcW w:w="60" w:type="dxa"/>
            <w:vAlign w:val="bottom"/>
            <w:shd w:val="clear" w:color="auto" w:fill="E6E6E6"/>
          </w:tcPr>
          <w:p>
            <w:pPr>
              <w:spacing w:after="0"/>
              <w:rPr>
                <w:sz w:val="24"/>
                <w:szCs w:val="24"/>
                <w:color w:val="auto"/>
              </w:rPr>
            </w:pPr>
          </w:p>
        </w:tc>
        <w:tc>
          <w:tcPr>
            <w:tcW w:w="18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2028</w:t>
            </w:r>
          </w:p>
        </w:tc>
        <w:tc>
          <w:tcPr>
            <w:tcW w:w="60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990</w:t>
            </w:r>
          </w:p>
        </w:tc>
      </w:tr>
      <w:tr>
        <w:trPr>
          <w:trHeight w:val="290"/>
        </w:trPr>
        <w:tc>
          <w:tcPr>
            <w:tcW w:w="6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758</w:t>
            </w:r>
          </w:p>
        </w:tc>
      </w:tr>
      <w:tr>
        <w:trPr>
          <w:trHeight w:val="290"/>
        </w:trPr>
        <w:tc>
          <w:tcPr>
            <w:tcW w:w="60" w:type="dxa"/>
            <w:vAlign w:val="bottom"/>
            <w:shd w:val="clear" w:color="auto" w:fill="E6E6E6"/>
          </w:tcPr>
          <w:p>
            <w:pPr>
              <w:spacing w:after="0"/>
              <w:rPr>
                <w:sz w:val="24"/>
                <w:szCs w:val="24"/>
                <w:color w:val="auto"/>
              </w:rPr>
            </w:pPr>
          </w:p>
        </w:tc>
        <w:tc>
          <w:tcPr>
            <w:tcW w:w="18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2030</w:t>
            </w:r>
          </w:p>
        </w:tc>
        <w:tc>
          <w:tcPr>
            <w:tcW w:w="60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1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648</w:t>
            </w:r>
          </w:p>
        </w:tc>
      </w:tr>
      <w:tr>
        <w:trPr>
          <w:trHeight w:val="289"/>
        </w:trPr>
        <w:tc>
          <w:tcPr>
            <w:tcW w:w="60" w:type="dxa"/>
            <w:vAlign w:val="bottom"/>
            <w:tcBorders>
              <w:bottom w:val="single" w:sz="8" w:color="E6E6E6"/>
            </w:tcBorders>
          </w:tcPr>
          <w:p>
            <w:pPr>
              <w:spacing w:after="0"/>
              <w:rPr>
                <w:sz w:val="24"/>
                <w:szCs w:val="24"/>
                <w:color w:val="auto"/>
              </w:rPr>
            </w:pPr>
          </w:p>
        </w:tc>
        <w:tc>
          <w:tcPr>
            <w:tcW w:w="7900" w:type="dxa"/>
            <w:vAlign w:val="bottom"/>
            <w:tcBorders>
              <w:bottom w:val="single" w:sz="8" w:color="E6E6E6"/>
            </w:tcBorders>
            <w:gridSpan w:val="3"/>
          </w:tcPr>
          <w:p>
            <w:pPr>
              <w:spacing w:after="0"/>
              <w:rPr>
                <w:sz w:val="20"/>
                <w:szCs w:val="20"/>
                <w:color w:val="auto"/>
              </w:rPr>
            </w:pPr>
            <w:r>
              <w:rPr>
                <w:rFonts w:ascii="Times New Roman" w:cs="Times New Roman" w:eastAsia="Times New Roman" w:hAnsi="Times New Roman"/>
                <w:sz w:val="19"/>
                <w:szCs w:val="19"/>
                <w:color w:val="auto"/>
              </w:rPr>
              <w:t>Thereafter</w:t>
            </w: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1,645</w:t>
            </w:r>
          </w:p>
        </w:tc>
      </w:tr>
      <w:tr>
        <w:trPr>
          <w:trHeight w:val="329"/>
        </w:trPr>
        <w:tc>
          <w:tcPr>
            <w:tcW w:w="60" w:type="dxa"/>
            <w:vAlign w:val="bottom"/>
            <w:shd w:val="clear" w:color="auto" w:fill="E6E6E6"/>
          </w:tcPr>
          <w:p>
            <w:pPr>
              <w:spacing w:after="0"/>
              <w:rPr>
                <w:sz w:val="24"/>
                <w:szCs w:val="24"/>
                <w:color w:val="auto"/>
              </w:rPr>
            </w:pPr>
          </w:p>
        </w:tc>
        <w:tc>
          <w:tcPr>
            <w:tcW w:w="788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Total minimum payments</w:t>
            </w:r>
          </w:p>
        </w:tc>
        <w:tc>
          <w:tcPr>
            <w:tcW w:w="20" w:type="dxa"/>
            <w:vAlign w:val="bottom"/>
            <w:tcBorders>
              <w:bottom w:val="single" w:sz="8" w:color="auto"/>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72,516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5043805</wp:posOffset>
                </wp:positionH>
                <wp:positionV relativeFrom="paragraph">
                  <wp:posOffset>17145</wp:posOffset>
                </wp:positionV>
                <wp:extent cx="123063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0630"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15pt,1.35pt" to="494.05pt,1.35pt" o:allowincell="f" strokecolor="#000000" strokeweight="0.9269pt"/>
            </w:pict>
          </mc:Fallback>
        </mc:AlternateContent>
      </w:r>
    </w:p>
    <w:p>
      <w:pPr>
        <w:spacing w:after="0"/>
        <w:rPr>
          <w:sz w:val="20"/>
          <w:szCs w:val="20"/>
          <w:color w:val="auto"/>
        </w:rPr>
      </w:pPr>
      <w:r>
        <w:rPr>
          <w:rFonts w:ascii="Times New Roman" w:cs="Times New Roman" w:eastAsia="Times New Roman" w:hAnsi="Times New Roman"/>
          <w:sz w:val="19"/>
          <w:szCs w:val="19"/>
          <w:i w:val="1"/>
          <w:iCs w:val="1"/>
          <w:color w:val="auto"/>
        </w:rPr>
        <w:t>(a) Includes the future minimum lease payments for the Company’s operating leases as described in Note 14.</w:t>
      </w:r>
    </w:p>
    <w:p>
      <w:pPr>
        <w:spacing w:after="0" w:line="311"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Total rent expense incurred under facility operating leases for the years ended December 31, 2025 and 2024 amounted to $654 and $627, respectively. Total expense incurred under satellite capacity and equipment operating leases and other commitments for 2025 and 2024 amounted to $41,358 and $34,727, respectively, which also includes payments for usage charges in excess of the minimum contractual requirements.</w:t>
      </w:r>
    </w:p>
    <w:p>
      <w:pPr>
        <w:spacing w:after="0" w:line="214"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In the normal course of business, the Company enters into unconditional purchase order obligations with its suppliers for inventory and other operational purchases. Outstanding and unconditional purchase order obligations were $2,137 as of December 31, 2025, all of which the Company expects to fulfill in 2026. As of December 31, 2025, the Company had satellite service capacity obligations of approximately $59.0 million.</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0" w:orient="portrait"/>
          <w:cols w:equalWidth="0" w:num="1">
            <w:col w:w="9920"/>
          </w:cols>
          <w:pgMar w:left="980" w:top="334" w:right="98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As of December 31, 2025, the Company had certain satellite service capacity obligations that were not considered operating or financing leases under ASC 842. The Company did not have any other off-balance sheet arrangements, guarantees, or standby repurchase obligations as of December 31, 2025.</w:t>
      </w:r>
    </w:p>
    <w:p>
      <w:pPr>
        <w:spacing w:after="0" w:line="205" w:lineRule="exact"/>
        <w:rPr>
          <w:sz w:val="20"/>
          <w:szCs w:val="20"/>
          <w:color w:val="auto"/>
        </w:rPr>
      </w:pPr>
    </w:p>
    <w:p>
      <w:pPr>
        <w:ind w:left="700" w:hanging="690"/>
        <w:spacing w:after="0"/>
        <w:tabs>
          <w:tab w:leader="none" w:pos="70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Stockholders’ Equity</w:t>
      </w:r>
    </w:p>
    <w:p>
      <w:pPr>
        <w:spacing w:after="0" w:line="317"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 xml:space="preserve">The Company recognizes stock-based compensation in accordance with the provisions of ASC Topic 718, </w:t>
      </w:r>
      <w:r>
        <w:rPr>
          <w:rFonts w:ascii="Times New Roman" w:cs="Times New Roman" w:eastAsia="Times New Roman" w:hAnsi="Times New Roman"/>
          <w:sz w:val="19"/>
          <w:szCs w:val="19"/>
          <w:i w:val="1"/>
          <w:iCs w:val="1"/>
          <w:color w:val="auto"/>
        </w:rPr>
        <w:t>Compensation-Stock Compensation</w:t>
      </w:r>
      <w:r>
        <w:rPr>
          <w:rFonts w:ascii="Times New Roman" w:cs="Times New Roman" w:eastAsia="Times New Roman" w:hAnsi="Times New Roman"/>
          <w:sz w:val="19"/>
          <w:szCs w:val="19"/>
          <w:color w:val="auto"/>
        </w:rPr>
        <w:t>. Stock-based compensation expense was $1,560 and $2,020, excluding $7 and $7 of compensation charges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related to our Amended and Restated 1996 Employee Stock Purchase Plan, or the ESPP, for the years ended December 31, 2025 and 2024, respectively.</w:t>
      </w:r>
    </w:p>
    <w:p>
      <w:pPr>
        <w:spacing w:after="0" w:line="214" w:lineRule="exact"/>
        <w:rPr>
          <w:sz w:val="20"/>
          <w:szCs w:val="20"/>
          <w:color w:val="auto"/>
        </w:rPr>
      </w:pPr>
    </w:p>
    <w:p>
      <w:pPr>
        <w:jc w:val="both"/>
        <w:ind w:firstLine="521"/>
        <w:spacing w:after="0" w:line="312" w:lineRule="auto"/>
        <w:rPr>
          <w:sz w:val="20"/>
          <w:szCs w:val="20"/>
          <w:color w:val="auto"/>
        </w:rPr>
      </w:pPr>
      <w:r>
        <w:rPr>
          <w:rFonts w:ascii="Times New Roman" w:cs="Times New Roman" w:eastAsia="Times New Roman" w:hAnsi="Times New Roman"/>
          <w:sz w:val="18"/>
          <w:szCs w:val="18"/>
          <w:color w:val="auto"/>
        </w:rPr>
        <w:t>The Company is authorized to grant stock options, restricted stock awards and other stock-based awards under its Amended and Restated 2016 Equity and Incentive Plan (the 2016 Plan) with respect to up to 6,080 shares of common stock (excluding rollover shares), an increase of 1,280 shares reserved for issuance under the previous 2016 Plan as approved by our shareholders on June 8, 2022. Options have generally been granted with an exercise price equal to the fair market value of the common stock on the date of grant and have generally provided for vesting in equal annual amounts over four years beginning on the first anniversary of the date of the grant. No options are exercisable for periods of more than five years after date of grant. Under the 2016 Plan, each share issued under awards other than options and stock appreciation rights will reduce the number of shares reserved for issuance by two shares. Shares issued under options or stock appreciation rights will reduce the shares reserved for issuance on a share-for-share basis. The Company accounts for forfeitures as they occur. The 2016 Plan and earlier equity compensation plans, pursuant to which an aggregate of 15,495 shares of the Company’s common stock were reserved for issuance, were all approved by the Company’s shareholders. As of December 31, 2025, 1,053 shares were available for future grants. The Compensation Committee of the Board of Directors administers the equity compensation plans, approves the individuals to whom awards will be granted and determines the number of shares and other terms of each award. Outstanding options under the Company’s equity compensation plans at December 31, 2025 expire from March 2026 through June 2030. None of the Company’s outstanding options includes performance-based or market-based vesting conditions as of December 31, 2025.</w:t>
      </w:r>
    </w:p>
    <w:p>
      <w:pPr>
        <w:spacing w:after="0" w:line="225" w:lineRule="exact"/>
        <w:rPr>
          <w:sz w:val="20"/>
          <w:szCs w:val="20"/>
          <w:color w:val="auto"/>
        </w:rPr>
      </w:pPr>
    </w:p>
    <w:p>
      <w:pPr>
        <w:ind w:left="620" w:hanging="350"/>
        <w:spacing w:after="0"/>
        <w:tabs>
          <w:tab w:leader="none" w:pos="620"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Employee Stock Options</w:t>
      </w:r>
    </w:p>
    <w:p>
      <w:pPr>
        <w:spacing w:after="0" w:line="313" w:lineRule="exact"/>
        <w:rPr>
          <w:sz w:val="20"/>
          <w:szCs w:val="20"/>
          <w:color w:val="auto"/>
        </w:rPr>
      </w:pPr>
    </w:p>
    <w:p>
      <w:pPr>
        <w:jc w:val="both"/>
        <w:ind w:firstLine="521"/>
        <w:spacing w:after="0" w:line="318" w:lineRule="auto"/>
        <w:rPr>
          <w:sz w:val="20"/>
          <w:szCs w:val="20"/>
          <w:color w:val="auto"/>
        </w:rPr>
      </w:pPr>
      <w:r>
        <w:rPr>
          <w:rFonts w:ascii="Times New Roman" w:cs="Times New Roman" w:eastAsia="Times New Roman" w:hAnsi="Times New Roman"/>
          <w:sz w:val="18"/>
          <w:szCs w:val="18"/>
          <w:color w:val="auto"/>
        </w:rPr>
        <w:t>The Company has estimated the fair value of each option grant on the date of grant using the Black-Scholes option-pricing model. The expected volatility assumption is based on the historical daily price data of the Company’s common stock over a period equivalent to the weighted average expected life of the Company’s options. The expected term of options granted is derived using assumed exercise rates based on historical exercise patterns and represents the period of time the options granted are expected to be outstanding. The risk-free interest rate is based on the actual U.S. Treasury zero-coupon rates for bonds matching the expected term of the option as of the option grant date. The dividend yield of zero is based upon the fact that the Company has not historically declared or paid cash dividends, and does not expect to declare or pay dividends in the foreseeable future.</w:t>
      </w:r>
    </w:p>
    <w:p>
      <w:pPr>
        <w:spacing w:after="0" w:line="211"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The per share weighted-average fair values of stock options granted during 2025 and 2024 were $2.12 and $2.23, respectively. The weighted-average assumptions used to value options as of their grant date were as follows:</w:t>
      </w:r>
    </w:p>
    <w:p>
      <w:pPr>
        <w:spacing w:after="0" w:line="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5"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4353560</wp:posOffset>
                </wp:positionH>
                <wp:positionV relativeFrom="paragraph">
                  <wp:posOffset>7620</wp:posOffset>
                </wp:positionV>
                <wp:extent cx="188404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404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8pt,0.6pt" to="491.15pt,0.6pt" o:allowincell="f" strokecolor="#000000" strokeweight="0.926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1240" w:type="dxa"/>
            <w:vAlign w:val="bottom"/>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0" w:type="dxa"/>
            <w:vAlign w:val="bottom"/>
          </w:tcPr>
          <w:p>
            <w:pPr>
              <w:spacing w:after="0"/>
              <w:rPr>
                <w:sz w:val="16"/>
                <w:szCs w:val="16"/>
                <w:color w:val="auto"/>
              </w:rPr>
            </w:pPr>
          </w:p>
        </w:tc>
        <w:tc>
          <w:tcPr>
            <w:tcW w:w="1320" w:type="dxa"/>
            <w:vAlign w:val="bottom"/>
            <w:gridSpan w:val="2"/>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6"/>
                <w:szCs w:val="16"/>
                <w:color w:val="auto"/>
              </w:rPr>
            </w:pPr>
          </w:p>
        </w:tc>
      </w:tr>
      <w:tr>
        <w:trPr>
          <w:trHeight w:val="269"/>
        </w:trPr>
        <w:tc>
          <w:tcPr>
            <w:tcW w:w="6860" w:type="dxa"/>
            <w:vAlign w:val="bottom"/>
            <w:tcBorders>
              <w:top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Risk-free interest rate</w:t>
            </w: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top w:val="single" w:sz="8" w:color="E6E6E6"/>
            </w:tcBorders>
            <w:shd w:val="clear" w:color="auto" w:fill="E6E6E6"/>
          </w:tcPr>
          <w:p>
            <w:pPr>
              <w:spacing w:after="0"/>
              <w:rPr>
                <w:sz w:val="23"/>
                <w:szCs w:val="23"/>
                <w:color w:val="auto"/>
              </w:rPr>
            </w:pP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4.36</w:t>
            </w:r>
          </w:p>
        </w:tc>
        <w:tc>
          <w:tcPr>
            <w:tcW w:w="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0"/>
        </w:trPr>
        <w:tc>
          <w:tcPr>
            <w:tcW w:w="68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Expected volatility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40.81</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48.63</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27"/>
        </w:trPr>
        <w:tc>
          <w:tcPr>
            <w:tcW w:w="686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Expected life (in years)</w:t>
            </w:r>
          </w:p>
        </w:tc>
        <w:tc>
          <w:tcPr>
            <w:tcW w:w="14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3.77</w:t>
            </w:r>
          </w:p>
        </w:tc>
        <w:tc>
          <w:tcPr>
            <w:tcW w:w="80" w:type="dxa"/>
            <w:vAlign w:val="bottom"/>
            <w:tcBorders>
              <w:bottom w:val="single" w:sz="8" w:color="E6E6E6"/>
            </w:tcBorders>
            <w:shd w:val="clear" w:color="auto" w:fill="E6E6E6"/>
          </w:tcPr>
          <w:p>
            <w:pPr>
              <w:spacing w:after="0"/>
              <w:rPr>
                <w:sz w:val="24"/>
                <w:szCs w:val="24"/>
                <w:color w:val="auto"/>
              </w:rPr>
            </w:pPr>
          </w:p>
        </w:tc>
        <w:tc>
          <w:tcPr>
            <w:tcW w:w="1440" w:type="dxa"/>
            <w:vAlign w:val="bottom"/>
            <w:tcBorders>
              <w:bottom w:val="single" w:sz="8" w:color="E6E6E6"/>
            </w:tcBorders>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4.32</w:t>
            </w:r>
          </w:p>
        </w:tc>
      </w:tr>
      <w:tr>
        <w:trPr>
          <w:trHeight w:val="336"/>
        </w:trPr>
        <w:tc>
          <w:tcPr>
            <w:tcW w:w="68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Dividend yield</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0 %</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0 %</w:t>
            </w:r>
          </w:p>
        </w:tc>
      </w:tr>
    </w:tbl>
    <w:p>
      <w:pPr>
        <w:spacing w:after="0" w:line="200" w:lineRule="exact"/>
        <w:rPr>
          <w:sz w:val="20"/>
          <w:szCs w:val="20"/>
          <w:color w:val="auto"/>
        </w:rPr>
      </w:pPr>
    </w:p>
    <w:p>
      <w:pPr>
        <w:sectPr>
          <w:pgSz w:w="11880" w:h="15480" w:orient="portrait"/>
          <w:cols w:equalWidth="0" w:num="1">
            <w:col w:w="9920"/>
          </w:cols>
          <w:pgMar w:left="980" w:top="334" w:right="980"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0" w:orient="portrait"/>
          <w:cols w:equalWidth="0" w:num="1">
            <w:col w:w="9920"/>
          </w:cols>
          <w:pgMar w:left="980" w:top="334" w:right="980" w:bottom="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changes in outstanding stock options for the years ended December 31, 2025 and 2024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Number of Options</w:t>
            </w:r>
          </w:p>
        </w:tc>
        <w:tc>
          <w:tcPr>
            <w:tcW w:w="200" w:type="dxa"/>
            <w:vAlign w:val="bottom"/>
          </w:tcPr>
          <w:p>
            <w:pPr>
              <w:spacing w:after="0"/>
              <w:rPr>
                <w:sz w:val="20"/>
                <w:szCs w:val="20"/>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248"/>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63"/>
        </w:trPr>
        <w:tc>
          <w:tcPr>
            <w:tcW w:w="60" w:type="dxa"/>
            <w:vAlign w:val="bottom"/>
            <w:tcBorders>
              <w:top w:val="single" w:sz="8" w:color="E6E6E6"/>
            </w:tcBorders>
            <w:shd w:val="clear" w:color="auto" w:fill="E6E6E6"/>
          </w:tcPr>
          <w:p>
            <w:pPr>
              <w:spacing w:after="0"/>
              <w:rPr>
                <w:sz w:val="22"/>
                <w:szCs w:val="22"/>
                <w:color w:val="auto"/>
              </w:rPr>
            </w:pPr>
          </w:p>
        </w:tc>
        <w:tc>
          <w:tcPr>
            <w:tcW w:w="376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9"/>
                <w:szCs w:val="19"/>
                <w:color w:val="auto"/>
              </w:rPr>
              <w:t>Outstanding at December 31, 2024</w:t>
            </w:r>
          </w:p>
        </w:tc>
        <w:tc>
          <w:tcPr>
            <w:tcW w:w="14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954</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auto"/>
            </w:tcBorders>
            <w:shd w:val="clear" w:color="auto" w:fill="E6E6E6"/>
          </w:tcPr>
          <w:p>
            <w:pPr>
              <w:spacing w:after="0"/>
              <w:rPr>
                <w:sz w:val="22"/>
                <w:szCs w:val="22"/>
                <w:color w:val="auto"/>
              </w:rPr>
            </w:pPr>
          </w:p>
        </w:tc>
        <w:tc>
          <w:tcPr>
            <w:tcW w:w="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1400" w:type="dxa"/>
            <w:vAlign w:val="bottom"/>
            <w:tcBorders>
              <w:top w:val="single" w:sz="8" w:color="auto"/>
            </w:tcBorders>
            <w:shd w:val="clear" w:color="auto" w:fill="E6E6E6"/>
          </w:tcPr>
          <w:p>
            <w:pPr>
              <w:spacing w:after="0"/>
              <w:rPr>
                <w:sz w:val="22"/>
                <w:szCs w:val="22"/>
                <w:color w:val="auto"/>
              </w:rPr>
            </w:pPr>
          </w:p>
        </w:tc>
        <w:tc>
          <w:tcPr>
            <w:tcW w:w="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340" w:type="dxa"/>
            <w:vAlign w:val="bottom"/>
            <w:tcBorders>
              <w:top w:val="single" w:sz="8" w:color="auto"/>
            </w:tcBorders>
            <w:shd w:val="clear" w:color="auto" w:fill="E6E6E6"/>
          </w:tcPr>
          <w:p>
            <w:pPr>
              <w:spacing w:after="0"/>
              <w:rPr>
                <w:sz w:val="22"/>
                <w:szCs w:val="22"/>
                <w:color w:val="auto"/>
              </w:rPr>
            </w:pPr>
          </w:p>
        </w:tc>
        <w:tc>
          <w:tcPr>
            <w:tcW w:w="110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376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shd w:val="clear" w:color="auto" w:fill="E6E6E6"/>
          </w:tcPr>
          <w:p>
            <w:pPr>
              <w:spacing w:after="0"/>
              <w:rPr>
                <w:sz w:val="24"/>
                <w:szCs w:val="24"/>
                <w:color w:val="auto"/>
              </w:rPr>
            </w:pPr>
          </w:p>
        </w:tc>
        <w:tc>
          <w:tcPr>
            <w:tcW w:w="376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Exercised</w:t>
            </w: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5.03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3"/>
          </w:tcPr>
          <w:p>
            <w:pPr>
              <w:ind w:left="340"/>
              <w:spacing w:after="0"/>
              <w:rPr>
                <w:sz w:val="20"/>
                <w:szCs w:val="20"/>
                <w:color w:val="auto"/>
              </w:rPr>
            </w:pPr>
            <w:r>
              <w:rPr>
                <w:rFonts w:ascii="Times New Roman" w:cs="Times New Roman" w:eastAsia="Times New Roman" w:hAnsi="Times New Roman"/>
                <w:sz w:val="19"/>
                <w:szCs w:val="19"/>
                <w:color w:val="auto"/>
              </w:rPr>
              <w:t>Expired, canceled or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8.46</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0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110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Borders>
              <w:top w:val="single" w:sz="8" w:color="E6E6E6"/>
            </w:tcBorders>
            <w:shd w:val="clear" w:color="auto" w:fill="E6E6E6"/>
          </w:tcPr>
          <w:p>
            <w:pPr>
              <w:spacing w:after="0"/>
              <w:rPr>
                <w:sz w:val="22"/>
                <w:szCs w:val="22"/>
                <w:color w:val="auto"/>
              </w:rPr>
            </w:pPr>
          </w:p>
        </w:tc>
        <w:tc>
          <w:tcPr>
            <w:tcW w:w="376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9"/>
                <w:szCs w:val="19"/>
                <w:color w:val="auto"/>
              </w:rPr>
              <w:t>Outstanding at December 31, 2025</w:t>
            </w:r>
          </w:p>
        </w:tc>
        <w:tc>
          <w:tcPr>
            <w:tcW w:w="14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1,260</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auto"/>
            </w:tcBorders>
            <w:shd w:val="clear" w:color="auto" w:fill="E6E6E6"/>
          </w:tcPr>
          <w:p>
            <w:pPr>
              <w:spacing w:after="0"/>
              <w:rPr>
                <w:sz w:val="22"/>
                <w:szCs w:val="22"/>
                <w:color w:val="auto"/>
              </w:rPr>
            </w:pPr>
          </w:p>
        </w:tc>
        <w:tc>
          <w:tcPr>
            <w:tcW w:w="2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7.08</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1440" w:type="dxa"/>
            <w:vAlign w:val="bottom"/>
            <w:tcBorders>
              <w:top w:val="single" w:sz="8" w:color="E6E6E6"/>
              <w:bottom w:val="single" w:sz="8" w:color="auto"/>
            </w:tcBorders>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9"/>
                <w:szCs w:val="19"/>
                <w:color w:val="auto"/>
              </w:rPr>
              <w:t>2.81</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340" w:type="dxa"/>
            <w:vAlign w:val="bottom"/>
            <w:tcBorders>
              <w:top w:val="single" w:sz="8" w:color="E6E6E6"/>
              <w:bottom w:val="single" w:sz="8" w:color="auto"/>
            </w:tcBorders>
            <w:shd w:val="clear" w:color="auto" w:fill="E6E6E6"/>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Exercisable at December 31, 2025</w:t>
            </w: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3"/>
            <w:vMerge w:val="continue"/>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380</w:t>
            </w:r>
          </w:p>
        </w:tc>
        <w:tc>
          <w:tcPr>
            <w:tcW w:w="60" w:type="dxa"/>
            <w:vAlign w:val="bottom"/>
            <w:tcBorders>
              <w:bottom w:val="single" w:sz="8" w:color="E6E6E6"/>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9.22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1.44</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14"/>
        </w:trPr>
        <w:tc>
          <w:tcPr>
            <w:tcW w:w="60" w:type="dxa"/>
            <w:vAlign w:val="bottom"/>
            <w:shd w:val="clear" w:color="auto" w:fill="E6E6E6"/>
          </w:tcPr>
          <w:p>
            <w:pPr>
              <w:spacing w:after="0"/>
              <w:rPr>
                <w:sz w:val="18"/>
                <w:szCs w:val="18"/>
                <w:color w:val="auto"/>
              </w:rPr>
            </w:pPr>
          </w:p>
        </w:tc>
        <w:tc>
          <w:tcPr>
            <w:tcW w:w="3700" w:type="dxa"/>
            <w:vAlign w:val="bottom"/>
            <w:shd w:val="clear" w:color="auto" w:fill="E6E6E6"/>
          </w:tcPr>
          <w:p>
            <w:pPr>
              <w:spacing w:after="0" w:line="214" w:lineRule="exact"/>
              <w:rPr>
                <w:sz w:val="20"/>
                <w:szCs w:val="20"/>
                <w:color w:val="auto"/>
              </w:rPr>
            </w:pPr>
            <w:r>
              <w:rPr>
                <w:rFonts w:ascii="Times New Roman" w:cs="Times New Roman" w:eastAsia="Times New Roman" w:hAnsi="Times New Roman"/>
                <w:sz w:val="19"/>
                <w:szCs w:val="19"/>
                <w:color w:val="auto"/>
              </w:rPr>
              <w:t>Options vested or expected to vest at</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1,260</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7.08</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2.81</w:t>
            </w:r>
          </w:p>
        </w:tc>
        <w:tc>
          <w:tcPr>
            <w:tcW w:w="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40" w:type="dxa"/>
            <w:vAlign w:val="bottom"/>
            <w:vMerge w:val="restart"/>
            <w:shd w:val="clear" w:color="auto" w:fill="E6E6E6"/>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1,143</w:t>
            </w:r>
          </w:p>
        </w:tc>
        <w:tc>
          <w:tcPr>
            <w:tcW w:w="0" w:type="dxa"/>
            <w:vAlign w:val="bottom"/>
          </w:tcPr>
          <w:p>
            <w:pPr>
              <w:spacing w:after="0"/>
              <w:rPr>
                <w:sz w:val="1"/>
                <w:szCs w:val="1"/>
                <w:color w:val="auto"/>
              </w:rPr>
            </w:pPr>
          </w:p>
        </w:tc>
      </w:tr>
      <w:tr>
        <w:trPr>
          <w:trHeight w:val="234"/>
        </w:trPr>
        <w:tc>
          <w:tcPr>
            <w:tcW w:w="60" w:type="dxa"/>
            <w:vAlign w:val="bottom"/>
            <w:shd w:val="clear" w:color="auto" w:fill="E6E6E6"/>
          </w:tcPr>
          <w:p>
            <w:pPr>
              <w:spacing w:after="0"/>
              <w:rPr>
                <w:sz w:val="20"/>
                <w:szCs w:val="20"/>
                <w:color w:val="auto"/>
              </w:rPr>
            </w:pPr>
          </w:p>
        </w:tc>
        <w:tc>
          <w:tcPr>
            <w:tcW w:w="3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December 31, 2025</w:t>
            </w:r>
          </w:p>
        </w:tc>
        <w:tc>
          <w:tcPr>
            <w:tcW w:w="4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440" w:type="dxa"/>
            <w:vAlign w:val="bottom"/>
            <w:tcBorders>
              <w:bottom w:val="single" w:sz="8" w:color="auto"/>
            </w:tcBorders>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200" w:type="dxa"/>
            <w:vAlign w:val="bottom"/>
            <w:tcBorders>
              <w:bottom w:val="single" w:sz="8" w:color="auto"/>
            </w:tcBorders>
            <w:vMerge w:val="continue"/>
            <w:shd w:val="clear" w:color="auto" w:fill="E6E6E6"/>
          </w:tcPr>
          <w:p>
            <w:pPr>
              <w:spacing w:after="0"/>
              <w:rPr>
                <w:sz w:val="20"/>
                <w:szCs w:val="20"/>
                <w:color w:val="auto"/>
              </w:rPr>
            </w:pPr>
          </w:p>
        </w:tc>
        <w:tc>
          <w:tcPr>
            <w:tcW w:w="1240" w:type="dxa"/>
            <w:vAlign w:val="bottom"/>
            <w:tcBorders>
              <w:bottom w:val="single" w:sz="8" w:color="auto"/>
            </w:tcBorders>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400" w:type="dxa"/>
            <w:vAlign w:val="bottom"/>
            <w:tcBorders>
              <w:bottom w:val="single" w:sz="8" w:color="auto"/>
            </w:tcBorders>
            <w:vMerge w:val="continue"/>
            <w:shd w:val="clear" w:color="auto" w:fill="E6E6E6"/>
          </w:tcPr>
          <w:p>
            <w:pPr>
              <w:spacing w:after="0"/>
              <w:rPr>
                <w:sz w:val="20"/>
                <w:szCs w:val="20"/>
                <w:color w:val="auto"/>
              </w:rPr>
            </w:pPr>
          </w:p>
        </w:tc>
        <w:tc>
          <w:tcPr>
            <w:tcW w:w="40" w:type="dxa"/>
            <w:vAlign w:val="bottom"/>
            <w:tcBorders>
              <w:bottom w:val="single" w:sz="8" w:color="auto"/>
            </w:tcBorders>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340" w:type="dxa"/>
            <w:vAlign w:val="bottom"/>
            <w:tcBorders>
              <w:bottom w:val="single" w:sz="8" w:color="auto"/>
            </w:tcBorders>
            <w:vMerge w:val="continue"/>
            <w:shd w:val="clear" w:color="auto" w:fill="E6E6E6"/>
          </w:tcPr>
          <w:p>
            <w:pPr>
              <w:spacing w:after="0"/>
              <w:rPr>
                <w:sz w:val="20"/>
                <w:szCs w:val="20"/>
                <w:color w:val="auto"/>
              </w:rPr>
            </w:pPr>
          </w:p>
        </w:tc>
        <w:tc>
          <w:tcPr>
            <w:tcW w:w="1100" w:type="dxa"/>
            <w:vAlign w:val="bottom"/>
            <w:tcBorders>
              <w:bottom w:val="single" w:sz="8" w:color="auto"/>
            </w:tcBorders>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 Intrinsic</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Number of Options</w:t>
            </w:r>
          </w:p>
        </w:tc>
        <w:tc>
          <w:tcPr>
            <w:tcW w:w="200" w:type="dxa"/>
            <w:vAlign w:val="bottom"/>
          </w:tcPr>
          <w:p>
            <w:pPr>
              <w:spacing w:after="0"/>
              <w:rPr>
                <w:sz w:val="19"/>
                <w:szCs w:val="19"/>
                <w:color w:val="auto"/>
              </w:rPr>
            </w:pPr>
          </w:p>
        </w:tc>
        <w:tc>
          <w:tcPr>
            <w:tcW w:w="1240" w:type="dxa"/>
            <w:vAlign w:val="bottom"/>
          </w:tcPr>
          <w:p>
            <w:pPr>
              <w:jc w:val="center"/>
              <w:ind w:right="106"/>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right="248"/>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63"/>
        </w:trPr>
        <w:tc>
          <w:tcPr>
            <w:tcW w:w="60" w:type="dxa"/>
            <w:vAlign w:val="bottom"/>
            <w:tcBorders>
              <w:top w:val="single" w:sz="8" w:color="E6E6E6"/>
            </w:tcBorders>
            <w:shd w:val="clear" w:color="auto" w:fill="E6E6E6"/>
          </w:tcPr>
          <w:p>
            <w:pPr>
              <w:spacing w:after="0"/>
              <w:rPr>
                <w:sz w:val="22"/>
                <w:szCs w:val="22"/>
                <w:color w:val="auto"/>
              </w:rPr>
            </w:pPr>
          </w:p>
        </w:tc>
        <w:tc>
          <w:tcPr>
            <w:tcW w:w="376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9"/>
                <w:szCs w:val="19"/>
                <w:color w:val="auto"/>
              </w:rPr>
              <w:t>Outstanding at December 31, 2023</w:t>
            </w:r>
          </w:p>
        </w:tc>
        <w:tc>
          <w:tcPr>
            <w:tcW w:w="14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1,230</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auto"/>
            </w:tcBorders>
            <w:shd w:val="clear" w:color="auto" w:fill="E6E6E6"/>
          </w:tcPr>
          <w:p>
            <w:pPr>
              <w:spacing w:after="0"/>
              <w:rPr>
                <w:sz w:val="22"/>
                <w:szCs w:val="22"/>
                <w:color w:val="auto"/>
              </w:rPr>
            </w:pPr>
          </w:p>
        </w:tc>
        <w:tc>
          <w:tcPr>
            <w:tcW w:w="2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9.57</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1400" w:type="dxa"/>
            <w:vAlign w:val="bottom"/>
            <w:tcBorders>
              <w:top w:val="single" w:sz="8" w:color="auto"/>
            </w:tcBorders>
            <w:shd w:val="clear" w:color="auto" w:fill="E6E6E6"/>
          </w:tcPr>
          <w:p>
            <w:pPr>
              <w:spacing w:after="0"/>
              <w:rPr>
                <w:sz w:val="22"/>
                <w:szCs w:val="22"/>
                <w:color w:val="auto"/>
              </w:rPr>
            </w:pPr>
          </w:p>
        </w:tc>
        <w:tc>
          <w:tcPr>
            <w:tcW w:w="40" w:type="dxa"/>
            <w:vAlign w:val="bottom"/>
            <w:tcBorders>
              <w:top w:val="single" w:sz="8" w:color="auto"/>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tcBorders>
            <w:shd w:val="clear" w:color="auto" w:fill="E6E6E6"/>
          </w:tcPr>
          <w:p>
            <w:pPr>
              <w:spacing w:after="0"/>
              <w:rPr>
                <w:sz w:val="22"/>
                <w:szCs w:val="22"/>
                <w:color w:val="auto"/>
              </w:rPr>
            </w:pPr>
          </w:p>
        </w:tc>
        <w:tc>
          <w:tcPr>
            <w:tcW w:w="340" w:type="dxa"/>
            <w:vAlign w:val="bottom"/>
            <w:tcBorders>
              <w:top w:val="single" w:sz="8" w:color="auto"/>
            </w:tcBorders>
            <w:shd w:val="clear" w:color="auto" w:fill="E6E6E6"/>
          </w:tcPr>
          <w:p>
            <w:pPr>
              <w:spacing w:after="0"/>
              <w:rPr>
                <w:sz w:val="22"/>
                <w:szCs w:val="22"/>
                <w:color w:val="auto"/>
              </w:rPr>
            </w:pPr>
          </w:p>
        </w:tc>
        <w:tc>
          <w:tcPr>
            <w:tcW w:w="1100" w:type="dxa"/>
            <w:vAlign w:val="bottom"/>
            <w:tcBorders>
              <w:top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60" w:type="dxa"/>
            <w:vAlign w:val="bottom"/>
          </w:tcPr>
          <w:p>
            <w:pPr>
              <w:spacing w:after="0"/>
              <w:rPr>
                <w:sz w:val="24"/>
                <w:szCs w:val="24"/>
                <w:color w:val="auto"/>
              </w:rPr>
            </w:pPr>
          </w:p>
        </w:tc>
        <w:tc>
          <w:tcPr>
            <w:tcW w:w="376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 w:type="dxa"/>
            <w:vAlign w:val="bottom"/>
            <w:shd w:val="clear" w:color="auto" w:fill="E6E6E6"/>
          </w:tcPr>
          <w:p>
            <w:pPr>
              <w:spacing w:after="0"/>
              <w:rPr>
                <w:sz w:val="24"/>
                <w:szCs w:val="24"/>
                <w:color w:val="auto"/>
              </w:rPr>
            </w:pPr>
          </w:p>
        </w:tc>
        <w:tc>
          <w:tcPr>
            <w:tcW w:w="376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Exercised</w:t>
            </w: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gridSpan w:val="2"/>
            <w:shd w:val="clear" w:color="auto" w:fill="E6E6E6"/>
          </w:tcPr>
          <w:p>
            <w:pPr>
              <w:spacing w:after="0"/>
              <w:rPr>
                <w:sz w:val="24"/>
                <w:szCs w:val="24"/>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1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3"/>
          </w:tcPr>
          <w:p>
            <w:pPr>
              <w:ind w:left="340"/>
              <w:spacing w:after="0"/>
              <w:rPr>
                <w:sz w:val="20"/>
                <w:szCs w:val="20"/>
                <w:color w:val="auto"/>
              </w:rPr>
            </w:pPr>
            <w:r>
              <w:rPr>
                <w:rFonts w:ascii="Times New Roman" w:cs="Times New Roman" w:eastAsia="Times New Roman" w:hAnsi="Times New Roman"/>
                <w:sz w:val="19"/>
                <w:szCs w:val="19"/>
                <w:color w:val="auto"/>
              </w:rPr>
              <w:t>Expired, canceled or 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9.62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40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110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Borders>
              <w:top w:val="single" w:sz="8" w:color="E6E6E6"/>
            </w:tcBorders>
            <w:shd w:val="clear" w:color="auto" w:fill="E6E6E6"/>
          </w:tcPr>
          <w:p>
            <w:pPr>
              <w:spacing w:after="0"/>
              <w:rPr>
                <w:sz w:val="22"/>
                <w:szCs w:val="22"/>
                <w:color w:val="auto"/>
              </w:rPr>
            </w:pPr>
          </w:p>
        </w:tc>
        <w:tc>
          <w:tcPr>
            <w:tcW w:w="376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9"/>
                <w:szCs w:val="19"/>
                <w:color w:val="auto"/>
              </w:rPr>
              <w:t>Outstanding at December 31, 2024</w:t>
            </w:r>
          </w:p>
        </w:tc>
        <w:tc>
          <w:tcPr>
            <w:tcW w:w="14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954</w:t>
            </w:r>
          </w:p>
        </w:tc>
        <w:tc>
          <w:tcPr>
            <w:tcW w:w="60" w:type="dxa"/>
            <w:vAlign w:val="bottom"/>
            <w:tcBorders>
              <w:top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auto"/>
            </w:tcBorders>
            <w:shd w:val="clear" w:color="auto" w:fill="E6E6E6"/>
          </w:tcPr>
          <w:p>
            <w:pPr>
              <w:spacing w:after="0"/>
              <w:rPr>
                <w:sz w:val="22"/>
                <w:szCs w:val="22"/>
                <w:color w:val="auto"/>
              </w:rPr>
            </w:pPr>
          </w:p>
        </w:tc>
        <w:tc>
          <w:tcPr>
            <w:tcW w:w="2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80" w:type="dxa"/>
            <w:vAlign w:val="bottom"/>
            <w:tcBorders>
              <w:top w:val="single" w:sz="8" w:color="E6E6E6"/>
            </w:tcBorders>
            <w:gridSpan w:val="2"/>
            <w:shd w:val="clear" w:color="auto" w:fill="E6E6E6"/>
          </w:tcPr>
          <w:p>
            <w:pPr>
              <w:spacing w:after="0"/>
              <w:rPr>
                <w:sz w:val="22"/>
                <w:szCs w:val="22"/>
                <w:color w:val="auto"/>
              </w:rPr>
            </w:pPr>
          </w:p>
        </w:tc>
        <w:tc>
          <w:tcPr>
            <w:tcW w:w="1440" w:type="dxa"/>
            <w:vAlign w:val="bottom"/>
            <w:tcBorders>
              <w:top w:val="single" w:sz="8" w:color="E6E6E6"/>
              <w:bottom w:val="single" w:sz="8" w:color="auto"/>
            </w:tcBorders>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9"/>
                <w:szCs w:val="19"/>
                <w:color w:val="auto"/>
              </w:rPr>
              <w:t>2.56</w:t>
            </w:r>
          </w:p>
        </w:tc>
        <w:tc>
          <w:tcPr>
            <w:tcW w:w="80" w:type="dxa"/>
            <w:vAlign w:val="bottom"/>
            <w:tcBorders>
              <w:top w:val="single" w:sz="8" w:color="E6E6E6"/>
            </w:tcBorders>
            <w:gridSpan w:val="2"/>
            <w:shd w:val="clear" w:color="auto" w:fill="E6E6E6"/>
          </w:tcPr>
          <w:p>
            <w:pPr>
              <w:spacing w:after="0"/>
              <w:rPr>
                <w:sz w:val="22"/>
                <w:szCs w:val="22"/>
                <w:color w:val="auto"/>
              </w:rPr>
            </w:pPr>
          </w:p>
        </w:tc>
        <w:tc>
          <w:tcPr>
            <w:tcW w:w="340" w:type="dxa"/>
            <w:vAlign w:val="bottom"/>
            <w:tcBorders>
              <w:top w:val="single" w:sz="8" w:color="E6E6E6"/>
              <w:bottom w:val="single" w:sz="8" w:color="auto"/>
            </w:tcBorders>
            <w:shd w:val="clear" w:color="auto" w:fill="E6E6E6"/>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164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Exercisable at December 31, 2024</w:t>
            </w: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0" w:type="dxa"/>
            <w:vAlign w:val="bottom"/>
            <w:tcBorders>
              <w:bottom w:val="single" w:sz="8" w:color="E6E6E6"/>
            </w:tcBorders>
          </w:tcPr>
          <w:p>
            <w:pPr>
              <w:spacing w:after="0"/>
              <w:rPr>
                <w:sz w:val="24"/>
                <w:szCs w:val="24"/>
                <w:color w:val="auto"/>
              </w:rPr>
            </w:pPr>
          </w:p>
        </w:tc>
        <w:tc>
          <w:tcPr>
            <w:tcW w:w="3760" w:type="dxa"/>
            <w:vAlign w:val="bottom"/>
            <w:tcBorders>
              <w:bottom w:val="single" w:sz="8" w:color="E6E6E6"/>
            </w:tcBorders>
            <w:gridSpan w:val="3"/>
            <w:vMerge w:val="continue"/>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410</w:t>
            </w:r>
          </w:p>
        </w:tc>
        <w:tc>
          <w:tcPr>
            <w:tcW w:w="60" w:type="dxa"/>
            <w:vAlign w:val="bottom"/>
            <w:tcBorders>
              <w:bottom w:val="single" w:sz="8" w:color="E6E6E6"/>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9.33</w:t>
            </w:r>
          </w:p>
        </w:tc>
        <w:tc>
          <w:tcPr>
            <w:tcW w:w="80" w:type="dxa"/>
            <w:vAlign w:val="bottom"/>
            <w:tcBorders>
              <w:bottom w:val="single" w:sz="8" w:color="E6E6E6"/>
            </w:tcBorders>
            <w:gridSpan w:val="2"/>
          </w:tcPr>
          <w:p>
            <w:pPr>
              <w:spacing w:after="0"/>
              <w:rPr>
                <w:sz w:val="24"/>
                <w:szCs w:val="24"/>
                <w:color w:val="auto"/>
              </w:rPr>
            </w:pPr>
          </w:p>
        </w:tc>
        <w:tc>
          <w:tcPr>
            <w:tcW w:w="1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1.53</w:t>
            </w:r>
          </w:p>
        </w:tc>
        <w:tc>
          <w:tcPr>
            <w:tcW w:w="80" w:type="dxa"/>
            <w:vAlign w:val="bottom"/>
            <w:tcBorders>
              <w:bottom w:val="single" w:sz="8" w:color="E6E6E6"/>
            </w:tcBorders>
            <w:gridSpan w:val="2"/>
          </w:tcPr>
          <w:p>
            <w:pPr>
              <w:spacing w:after="0"/>
              <w:rPr>
                <w:sz w:val="24"/>
                <w:szCs w:val="24"/>
                <w:color w:val="auto"/>
              </w:rPr>
            </w:pPr>
          </w:p>
        </w:tc>
        <w:tc>
          <w:tcPr>
            <w:tcW w:w="3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4"/>
        </w:trPr>
        <w:tc>
          <w:tcPr>
            <w:tcW w:w="60" w:type="dxa"/>
            <w:vAlign w:val="bottom"/>
            <w:shd w:val="clear" w:color="auto" w:fill="E6E6E6"/>
          </w:tcPr>
          <w:p>
            <w:pPr>
              <w:spacing w:after="0"/>
              <w:rPr>
                <w:sz w:val="18"/>
                <w:szCs w:val="18"/>
                <w:color w:val="auto"/>
              </w:rPr>
            </w:pPr>
          </w:p>
        </w:tc>
        <w:tc>
          <w:tcPr>
            <w:tcW w:w="3700" w:type="dxa"/>
            <w:vAlign w:val="bottom"/>
            <w:shd w:val="clear" w:color="auto" w:fill="E6E6E6"/>
          </w:tcPr>
          <w:p>
            <w:pPr>
              <w:spacing w:after="0" w:line="214" w:lineRule="exact"/>
              <w:rPr>
                <w:sz w:val="20"/>
                <w:szCs w:val="20"/>
                <w:color w:val="auto"/>
              </w:rPr>
            </w:pPr>
            <w:r>
              <w:rPr>
                <w:rFonts w:ascii="Times New Roman" w:cs="Times New Roman" w:eastAsia="Times New Roman" w:hAnsi="Times New Roman"/>
                <w:sz w:val="19"/>
                <w:szCs w:val="19"/>
                <w:color w:val="auto"/>
              </w:rPr>
              <w:t>Options vested or expected to vest at</w:t>
            </w: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954</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8.27</w:t>
            </w: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2.56</w:t>
            </w:r>
          </w:p>
        </w:tc>
        <w:tc>
          <w:tcPr>
            <w:tcW w:w="4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40" w:type="dxa"/>
            <w:vAlign w:val="bottom"/>
            <w:vMerge w:val="restart"/>
            <w:shd w:val="clear" w:color="auto" w:fill="E6E6E6"/>
          </w:tcPr>
          <w:p>
            <w:pPr>
              <w:jc w:val="right"/>
              <w:ind w:right="108"/>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164</w:t>
            </w:r>
          </w:p>
        </w:tc>
        <w:tc>
          <w:tcPr>
            <w:tcW w:w="0" w:type="dxa"/>
            <w:vAlign w:val="bottom"/>
          </w:tcPr>
          <w:p>
            <w:pPr>
              <w:spacing w:after="0"/>
              <w:rPr>
                <w:sz w:val="1"/>
                <w:szCs w:val="1"/>
                <w:color w:val="auto"/>
              </w:rPr>
            </w:pPr>
          </w:p>
        </w:tc>
      </w:tr>
      <w:tr>
        <w:trPr>
          <w:trHeight w:val="234"/>
        </w:trPr>
        <w:tc>
          <w:tcPr>
            <w:tcW w:w="60" w:type="dxa"/>
            <w:vAlign w:val="bottom"/>
            <w:shd w:val="clear" w:color="auto" w:fill="E6E6E6"/>
          </w:tcPr>
          <w:p>
            <w:pPr>
              <w:spacing w:after="0"/>
              <w:rPr>
                <w:sz w:val="20"/>
                <w:szCs w:val="20"/>
                <w:color w:val="auto"/>
              </w:rPr>
            </w:pPr>
          </w:p>
        </w:tc>
        <w:tc>
          <w:tcPr>
            <w:tcW w:w="370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December 31, 2024</w:t>
            </w:r>
          </w:p>
        </w:tc>
        <w:tc>
          <w:tcPr>
            <w:tcW w:w="60" w:type="dxa"/>
            <w:vAlign w:val="bottom"/>
            <w:gridSpan w:val="2"/>
            <w:shd w:val="clear" w:color="auto" w:fill="E6E6E6"/>
          </w:tcPr>
          <w:p>
            <w:pPr>
              <w:spacing w:after="0"/>
              <w:rPr>
                <w:sz w:val="20"/>
                <w:szCs w:val="20"/>
                <w:color w:val="auto"/>
              </w:rPr>
            </w:pPr>
          </w:p>
        </w:tc>
        <w:tc>
          <w:tcPr>
            <w:tcW w:w="1440" w:type="dxa"/>
            <w:vAlign w:val="bottom"/>
            <w:vMerge w:val="continue"/>
            <w:shd w:val="clear" w:color="auto" w:fill="E6E6E6"/>
          </w:tcPr>
          <w:p>
            <w:pPr>
              <w:spacing w:after="0"/>
              <w:rPr>
                <w:sz w:val="20"/>
                <w:szCs w:val="20"/>
                <w:color w:val="auto"/>
              </w:rPr>
            </w:pPr>
          </w:p>
        </w:tc>
        <w:tc>
          <w:tcPr>
            <w:tcW w:w="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0" w:type="dxa"/>
            <w:vAlign w:val="bottom"/>
            <w:vMerge w:val="continue"/>
            <w:shd w:val="clear" w:color="auto" w:fill="E6E6E6"/>
          </w:tcPr>
          <w:p>
            <w:pPr>
              <w:spacing w:after="0"/>
              <w:rPr>
                <w:sz w:val="20"/>
                <w:szCs w:val="20"/>
                <w:color w:val="auto"/>
              </w:rPr>
            </w:pPr>
          </w:p>
        </w:tc>
        <w:tc>
          <w:tcPr>
            <w:tcW w:w="1240" w:type="dxa"/>
            <w:vAlign w:val="bottom"/>
            <w:vMerge w:val="continue"/>
            <w:shd w:val="clear" w:color="auto" w:fill="E6E6E6"/>
          </w:tcPr>
          <w:p>
            <w:pPr>
              <w:spacing w:after="0"/>
              <w:rPr>
                <w:sz w:val="20"/>
                <w:szCs w:val="20"/>
                <w:color w:val="auto"/>
              </w:rPr>
            </w:pPr>
          </w:p>
        </w:tc>
        <w:tc>
          <w:tcPr>
            <w:tcW w:w="80" w:type="dxa"/>
            <w:vAlign w:val="bottom"/>
            <w:gridSpan w:val="2"/>
            <w:shd w:val="clear" w:color="auto" w:fill="E6E6E6"/>
          </w:tcPr>
          <w:p>
            <w:pPr>
              <w:spacing w:after="0"/>
              <w:rPr>
                <w:sz w:val="20"/>
                <w:szCs w:val="20"/>
                <w:color w:val="auto"/>
              </w:rPr>
            </w:pPr>
          </w:p>
        </w:tc>
        <w:tc>
          <w:tcPr>
            <w:tcW w:w="1400" w:type="dxa"/>
            <w:vAlign w:val="bottom"/>
            <w:vMerge w:val="continue"/>
            <w:shd w:val="clear" w:color="auto" w:fill="E6E6E6"/>
          </w:tcPr>
          <w:p>
            <w:pPr>
              <w:spacing w:after="0"/>
              <w:rPr>
                <w:sz w:val="20"/>
                <w:szCs w:val="20"/>
                <w:color w:val="auto"/>
              </w:rPr>
            </w:pPr>
          </w:p>
        </w:tc>
        <w:tc>
          <w:tcPr>
            <w:tcW w:w="40" w:type="dxa"/>
            <w:vAlign w:val="bottom"/>
            <w:shd w:val="clear" w:color="auto" w:fill="E6E6E6"/>
          </w:tcPr>
          <w:p>
            <w:pPr>
              <w:spacing w:after="0"/>
              <w:rPr>
                <w:sz w:val="20"/>
                <w:szCs w:val="20"/>
                <w:color w:val="auto"/>
              </w:rPr>
            </w:pPr>
          </w:p>
        </w:tc>
        <w:tc>
          <w:tcPr>
            <w:tcW w:w="80" w:type="dxa"/>
            <w:vAlign w:val="bottom"/>
            <w:gridSpan w:val="2"/>
            <w:shd w:val="clear" w:color="auto" w:fill="E6E6E6"/>
          </w:tcPr>
          <w:p>
            <w:pPr>
              <w:spacing w:after="0"/>
              <w:rPr>
                <w:sz w:val="20"/>
                <w:szCs w:val="20"/>
                <w:color w:val="auto"/>
              </w:rPr>
            </w:pPr>
          </w:p>
        </w:tc>
        <w:tc>
          <w:tcPr>
            <w:tcW w:w="340" w:type="dxa"/>
            <w:vAlign w:val="bottom"/>
            <w:vMerge w:val="continue"/>
            <w:shd w:val="clear" w:color="auto" w:fill="E6E6E6"/>
          </w:tcPr>
          <w:p>
            <w:pPr>
              <w:spacing w:after="0"/>
              <w:rPr>
                <w:sz w:val="20"/>
                <w:szCs w:val="20"/>
                <w:color w:val="auto"/>
              </w:rPr>
            </w:pPr>
          </w:p>
        </w:tc>
        <w:tc>
          <w:tcPr>
            <w:tcW w:w="1100" w:type="dxa"/>
            <w:vAlign w:val="bottom"/>
            <w:vMerge w:val="continue"/>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total aggregate intrinsic value of options exercised in 2025 was $3. No options were exercised in 2024.</w:t>
      </w:r>
    </w:p>
    <w:p>
      <w:pPr>
        <w:spacing w:after="0" w:line="314"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As of December 31, 2025, there was $1,515 of total unrecognized compensation expense related to stock options, which is expected to be recognized over a weighted-average period of 2.63 years. In 2025 and 2024, the Company recorded compensation charges of $689 and $710, respectively, related to stock options. Compensation costs for options subject only to service conditions that vest ratably are recognized on a straight-line basis over the requisite service period for the entire award. During 2025 and 2024, cash received under stock option plans for exercises was $33 and $0, respectively.</w:t>
      </w:r>
    </w:p>
    <w:p>
      <w:pPr>
        <w:spacing w:after="0" w:line="3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(b)  Restricted Stock</w:t>
      </w:r>
    </w:p>
    <w:p>
      <w:pPr>
        <w:spacing w:after="0" w:line="313"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Company granted 70 and 207 restricted stock awards to employees under the terms of the 2016 Plan for the years ended December 31, 2025 and 2024, respectively. The restricted stock awards have generally provided for vesting annually over four years from the date of grant subject to the recipient remaining an employee through the applicable vesting dates. Compensation expense for restricted stock awards is measured at fair value on the date of grant based on the number of shares granted and the quoted market closing price of the Company’s common stock. Such value is recognized as expense over the vesting period of the award, net of forfeitures. The weighted-average grant-date fair value of restricted stock granted during 2025 and 2024 was $5.50 and $4.82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0" w:orient="portrait"/>
          <w:cols w:equalWidth="0" w:num="1">
            <w:col w:w="9920"/>
          </w:cols>
          <w:pgMar w:left="980" w:top="600" w:right="980" w:bottom="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09" w:lineRule="exact"/>
        <w:rPr>
          <w:sz w:val="20"/>
          <w:szCs w:val="20"/>
          <w:color w:val="auto"/>
        </w:rPr>
      </w:pPr>
    </w:p>
    <w:p>
      <w:pPr>
        <w:ind w:right="20" w:firstLine="521"/>
        <w:spacing w:after="0" w:line="287" w:lineRule="auto"/>
        <w:rPr>
          <w:sz w:val="20"/>
          <w:szCs w:val="20"/>
          <w:color w:val="auto"/>
        </w:rPr>
      </w:pPr>
      <w:r>
        <w:rPr>
          <w:rFonts w:ascii="Times New Roman" w:cs="Times New Roman" w:eastAsia="Times New Roman" w:hAnsi="Times New Roman"/>
          <w:sz w:val="19"/>
          <w:szCs w:val="19"/>
          <w:color w:val="auto"/>
        </w:rPr>
        <w:t>As of December 31, 2025, there was $884 of total unrecognized compensation expense related to restricted stock awards, which is expected to be recognized over a weighted-average period of 1.33 years. Compensation costs for awards subject only to service conditions that vest ratably are recognized on a straight-line basis over the requisite service period for the entire award. In 2025 and 2024, the Company recorded compensation charges of $871 and $1,310, respectively, related to restricted stock awards.</w:t>
      </w:r>
    </w:p>
    <w:p>
      <w:pPr>
        <w:spacing w:after="0" w:line="200" w:lineRule="exact"/>
        <w:rPr>
          <w:sz w:val="20"/>
          <w:szCs w:val="20"/>
          <w:color w:val="auto"/>
        </w:rPr>
      </w:pPr>
    </w:p>
    <w:p>
      <w:pPr>
        <w:spacing w:after="0" w:line="2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Restricted stock activity under the 2016 Plan for 2025 and 2024 are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77"/>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w w:val="99"/>
              </w:rPr>
              <w:t>average</w:t>
            </w:r>
          </w:p>
        </w:tc>
        <w:tc>
          <w:tcPr>
            <w:tcW w:w="0" w:type="dxa"/>
            <w:vAlign w:val="bottom"/>
          </w:tcPr>
          <w:p>
            <w:pPr>
              <w:spacing w:after="0"/>
              <w:rPr>
                <w:sz w:val="1"/>
                <w:szCs w:val="1"/>
                <w:color w:val="auto"/>
              </w:rPr>
            </w:pPr>
          </w:p>
        </w:tc>
      </w:tr>
      <w:tr>
        <w:trPr>
          <w:trHeight w:val="177"/>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52"/>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Borders>
              <w:bottom w:val="single" w:sz="8" w:color="E6E6E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65"/>
        </w:trPr>
        <w:tc>
          <w:tcPr>
            <w:tcW w:w="7260" w:type="dxa"/>
            <w:vAlign w:val="bottom"/>
            <w:tcBorders>
              <w:top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Outstanding at December 31, 2024, unvested</w:t>
            </w:r>
          </w:p>
        </w:tc>
        <w:tc>
          <w:tcPr>
            <w:tcW w:w="1240" w:type="dxa"/>
            <w:vAlign w:val="bottom"/>
            <w:tcBorders>
              <w:top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320</w:t>
            </w:r>
          </w:p>
        </w:tc>
        <w:tc>
          <w:tcPr>
            <w:tcW w:w="80" w:type="dxa"/>
            <w:vAlign w:val="bottom"/>
            <w:tcBorders>
              <w:top w:val="single" w:sz="8" w:color="E6E6E6"/>
            </w:tcBorders>
            <w:shd w:val="clear" w:color="auto" w:fill="E6E6E6"/>
          </w:tcPr>
          <w:p>
            <w:pPr>
              <w:spacing w:after="0"/>
              <w:rPr>
                <w:sz w:val="23"/>
                <w:szCs w:val="23"/>
                <w:color w:val="auto"/>
              </w:rPr>
            </w:pPr>
          </w:p>
        </w:tc>
        <w:tc>
          <w:tcPr>
            <w:tcW w:w="2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6.92</w:t>
            </w:r>
          </w:p>
        </w:tc>
        <w:tc>
          <w:tcPr>
            <w:tcW w:w="0" w:type="dxa"/>
            <w:vAlign w:val="bottom"/>
          </w:tcPr>
          <w:p>
            <w:pPr>
              <w:spacing w:after="0"/>
              <w:rPr>
                <w:sz w:val="1"/>
                <w:szCs w:val="1"/>
                <w:color w:val="auto"/>
              </w:rPr>
            </w:pPr>
          </w:p>
        </w:tc>
      </w:tr>
      <w:tr>
        <w:trPr>
          <w:trHeight w:val="305"/>
        </w:trPr>
        <w:tc>
          <w:tcPr>
            <w:tcW w:w="72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w:t>
            </w:r>
          </w:p>
        </w:tc>
        <w:tc>
          <w:tcPr>
            <w:tcW w:w="0" w:type="dxa"/>
            <w:vAlign w:val="bottom"/>
          </w:tcPr>
          <w:p>
            <w:pPr>
              <w:spacing w:after="0"/>
              <w:rPr>
                <w:sz w:val="1"/>
                <w:szCs w:val="1"/>
                <w:color w:val="auto"/>
              </w:rPr>
            </w:pPr>
          </w:p>
        </w:tc>
      </w:tr>
      <w:tr>
        <w:trPr>
          <w:trHeight w:val="303"/>
        </w:trPr>
        <w:tc>
          <w:tcPr>
            <w:tcW w:w="726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6.45</w:t>
            </w:r>
          </w:p>
        </w:tc>
        <w:tc>
          <w:tcPr>
            <w:tcW w:w="0" w:type="dxa"/>
            <w:vAlign w:val="bottom"/>
          </w:tcPr>
          <w:p>
            <w:pPr>
              <w:spacing w:after="0"/>
              <w:rPr>
                <w:sz w:val="1"/>
                <w:szCs w:val="1"/>
                <w:color w:val="auto"/>
              </w:rPr>
            </w:pPr>
          </w:p>
        </w:tc>
      </w:tr>
      <w:tr>
        <w:trPr>
          <w:trHeight w:val="305"/>
        </w:trPr>
        <w:tc>
          <w:tcPr>
            <w:tcW w:w="726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0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7.85</w:t>
            </w:r>
          </w:p>
        </w:tc>
        <w:tc>
          <w:tcPr>
            <w:tcW w:w="0" w:type="dxa"/>
            <w:vAlign w:val="bottom"/>
          </w:tcPr>
          <w:p>
            <w:pPr>
              <w:spacing w:after="0"/>
              <w:rPr>
                <w:sz w:val="1"/>
                <w:szCs w:val="1"/>
                <w:color w:val="auto"/>
              </w:rPr>
            </w:pPr>
          </w:p>
        </w:tc>
      </w:tr>
      <w:tr>
        <w:trPr>
          <w:trHeight w:val="284"/>
        </w:trPr>
        <w:tc>
          <w:tcPr>
            <w:tcW w:w="72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Outstanding at December 31, 2025, unvested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6.70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jc w:val="center"/>
              <w:ind w:right="152"/>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line="20" w:lineRule="exact"/>
              <w:rPr>
                <w:sz w:val="1"/>
                <w:szCs w:val="1"/>
                <w:color w:val="auto"/>
              </w:rPr>
            </w:pPr>
          </w:p>
        </w:tc>
      </w:tr>
      <w:tr>
        <w:trPr>
          <w:trHeight w:val="457"/>
        </w:trPr>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w w:val="99"/>
              </w:rPr>
              <w:t>average</w:t>
            </w:r>
          </w:p>
        </w:tc>
        <w:tc>
          <w:tcPr>
            <w:tcW w:w="0" w:type="dxa"/>
            <w:vAlign w:val="bottom"/>
          </w:tcPr>
          <w:p>
            <w:pPr>
              <w:spacing w:after="0"/>
              <w:rPr>
                <w:sz w:val="1"/>
                <w:szCs w:val="1"/>
                <w:color w:val="auto"/>
              </w:rPr>
            </w:pPr>
          </w:p>
        </w:tc>
      </w:tr>
      <w:tr>
        <w:trPr>
          <w:trHeight w:val="163"/>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52"/>
              <w:spacing w:after="0" w:line="163"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219"/>
        </w:trPr>
        <w:tc>
          <w:tcPr>
            <w:tcW w:w="72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85"/>
        </w:trPr>
        <w:tc>
          <w:tcPr>
            <w:tcW w:w="72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Outstanding at December 31, 2023, unvested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9.34</w:t>
            </w:r>
          </w:p>
        </w:tc>
        <w:tc>
          <w:tcPr>
            <w:tcW w:w="0" w:type="dxa"/>
            <w:vAlign w:val="bottom"/>
          </w:tcPr>
          <w:p>
            <w:pPr>
              <w:spacing w:after="0"/>
              <w:rPr>
                <w:sz w:val="1"/>
                <w:szCs w:val="1"/>
                <w:color w:val="auto"/>
              </w:rPr>
            </w:pPr>
          </w:p>
        </w:tc>
      </w:tr>
      <w:tr>
        <w:trPr>
          <w:trHeight w:val="303"/>
        </w:trPr>
        <w:tc>
          <w:tcPr>
            <w:tcW w:w="72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4.82</w:t>
            </w:r>
          </w:p>
        </w:tc>
        <w:tc>
          <w:tcPr>
            <w:tcW w:w="0" w:type="dxa"/>
            <w:vAlign w:val="bottom"/>
          </w:tcPr>
          <w:p>
            <w:pPr>
              <w:spacing w:after="0"/>
              <w:rPr>
                <w:sz w:val="1"/>
                <w:szCs w:val="1"/>
                <w:color w:val="auto"/>
              </w:rPr>
            </w:pPr>
          </w:p>
        </w:tc>
      </w:tr>
      <w:tr>
        <w:trPr>
          <w:trHeight w:val="305"/>
        </w:trPr>
        <w:tc>
          <w:tcPr>
            <w:tcW w:w="726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w:t>
            </w:r>
          </w:p>
        </w:tc>
        <w:tc>
          <w:tcPr>
            <w:tcW w:w="8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8.71</w:t>
            </w:r>
          </w:p>
        </w:tc>
        <w:tc>
          <w:tcPr>
            <w:tcW w:w="0" w:type="dxa"/>
            <w:vAlign w:val="bottom"/>
          </w:tcPr>
          <w:p>
            <w:pPr>
              <w:spacing w:after="0"/>
              <w:rPr>
                <w:sz w:val="1"/>
                <w:szCs w:val="1"/>
                <w:color w:val="auto"/>
              </w:rPr>
            </w:pPr>
          </w:p>
        </w:tc>
      </w:tr>
      <w:tr>
        <w:trPr>
          <w:trHeight w:val="303"/>
        </w:trPr>
        <w:tc>
          <w:tcPr>
            <w:tcW w:w="726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04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9"/>
                <w:szCs w:val="19"/>
                <w:color w:val="auto"/>
              </w:rPr>
              <w:t>8.53</w:t>
            </w:r>
          </w:p>
        </w:tc>
        <w:tc>
          <w:tcPr>
            <w:tcW w:w="0" w:type="dxa"/>
            <w:vAlign w:val="bottom"/>
          </w:tcPr>
          <w:p>
            <w:pPr>
              <w:spacing w:after="0"/>
              <w:rPr>
                <w:sz w:val="1"/>
                <w:szCs w:val="1"/>
                <w:color w:val="auto"/>
              </w:rPr>
            </w:pPr>
          </w:p>
        </w:tc>
      </w:tr>
      <w:tr>
        <w:trPr>
          <w:trHeight w:val="286"/>
        </w:trPr>
        <w:tc>
          <w:tcPr>
            <w:tcW w:w="72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Outstanding at December 31, 2024, unvested</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w:t>
            </w:r>
          </w:p>
        </w:tc>
        <w:tc>
          <w:tcPr>
            <w:tcW w:w="3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6.92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-2651760</wp:posOffset>
            </wp:positionV>
            <wp:extent cx="825500" cy="9785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a:extLst>
                        <a:ext uri="{28A0092B-C50C-407E-A947-70E740481C1C}"/>
                      </a:extLst>
                    </a:blip>
                    <a:srcRect/>
                    <a:stretch>
                      <a:fillRect/>
                    </a:stretch>
                  </pic:blipFill>
                  <pic:spPr bwMode="auto">
                    <a:xfrm>
                      <a:off x="0" y="0"/>
                      <a:ext cx="825500" cy="97853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-1002030</wp:posOffset>
            </wp:positionV>
            <wp:extent cx="825500" cy="978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
                      <a:extLst>
                        <a:ext uri="{28A0092B-C50C-407E-A947-70E740481C1C}"/>
                      </a:extLst>
                    </a:blip>
                    <a:srcRect/>
                    <a:stretch>
                      <a:fillRect/>
                    </a:stretch>
                  </pic:blipFill>
                  <pic:spPr bwMode="auto">
                    <a:xfrm>
                      <a:off x="0" y="0"/>
                      <a:ext cx="825500" cy="978535"/>
                    </a:xfrm>
                    <a:prstGeom prst="rect">
                      <a:avLst/>
                    </a:prstGeom>
                    <a:noFill/>
                  </pic:spPr>
                </pic:pic>
              </a:graphicData>
            </a:graphic>
          </wp:anchor>
        </w:drawing>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(c)  Common Stock Repurchase</w:t>
      </w:r>
    </w:p>
    <w:p>
      <w:pPr>
        <w:spacing w:after="0" w:line="3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During 2025, 327 shares of common stock were repurchased. During 2024, no shares of common stock were repurchased.</w:t>
      </w:r>
    </w:p>
    <w:p>
      <w:pPr>
        <w:spacing w:after="0" w:line="3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(d)  Employee Stock Purchase Plan</w:t>
      </w:r>
    </w:p>
    <w:p>
      <w:pPr>
        <w:spacing w:after="0" w:line="313" w:lineRule="exact"/>
        <w:rPr>
          <w:sz w:val="20"/>
          <w:szCs w:val="20"/>
          <w:color w:val="auto"/>
        </w:rPr>
      </w:pPr>
    </w:p>
    <w:p>
      <w:pPr>
        <w:jc w:val="both"/>
        <w:ind w:right="20" w:firstLine="521"/>
        <w:spacing w:after="0" w:line="335" w:lineRule="auto"/>
        <w:rPr>
          <w:sz w:val="20"/>
          <w:szCs w:val="20"/>
          <w:color w:val="auto"/>
        </w:rPr>
      </w:pPr>
      <w:r>
        <w:rPr>
          <w:rFonts w:ascii="Times New Roman" w:cs="Times New Roman" w:eastAsia="Times New Roman" w:hAnsi="Times New Roman"/>
          <w:sz w:val="19"/>
          <w:szCs w:val="19"/>
          <w:color w:val="auto"/>
        </w:rPr>
        <w:t>Under the Company’s ESPP, an aggregate of 1,650 shares of common stock have been reserved for issuance, of which 731 shares remain available as of December 31, 2025.</w:t>
      </w:r>
    </w:p>
    <w:p>
      <w:pPr>
        <w:spacing w:after="0" w:line="188"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The ESPP covers all of the Company’s employees. Under the terms of the ESPP, eligible employees can elect to have up to six percent of their pre-tax compensation withheld to purchase shares of the Company’s common stock on a semi-annual basis at 85% of the market price on the first or last day of each purchase period, whichever is lower. During 2025 and 2024, shares issued under this plan were 4 and 27 shares, respectively. The Company utilizes the Black-Scholes option-pricing model to calculate the fair value of these discounted purchases. The fair value of the 15% discount is recognized as compensation expense over the purchase period. The Company applies a graded vesting approach because the ESPP provides for multiple purchase periods and is, in substance, a series of linked awards. In 2025 and 2024, the Company recorded compensation charges of $7 and $7, respectively, related to the ESPP. During 2025 and 2024, cash received under the ESPP was $17 and $110,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0" w:orient="portrait"/>
          <w:cols w:equalWidth="0" w:num="1">
            <w:col w:w="9920"/>
          </w:cols>
          <w:pgMar w:left="980" w:top="600" w:right="980" w:bottom="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(e)  Stock-Based Compensation Expense</w:t>
      </w:r>
    </w:p>
    <w:p>
      <w:pPr>
        <w:spacing w:after="0" w:line="313"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The following presents stock-based compensation expense, including expense for the ESPP, in the Company’s consolidated statements of operations for the years ended December 31, 2025 and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8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85"/>
        </w:trPr>
        <w:tc>
          <w:tcPr>
            <w:tcW w:w="68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Cost of service sales</w:t>
            </w:r>
          </w:p>
        </w:tc>
        <w:tc>
          <w:tcPr>
            <w:tcW w:w="900" w:type="dxa"/>
            <w:vAlign w:val="bottom"/>
            <w:shd w:val="clear" w:color="auto" w:fill="E6E6E6"/>
          </w:tcPr>
          <w:p>
            <w:pPr>
              <w:jc w:val="right"/>
              <w:ind w:right="670"/>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305"/>
        </w:trPr>
        <w:tc>
          <w:tcPr>
            <w:tcW w:w="6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product sales</w:t>
            </w:r>
          </w:p>
        </w:tc>
        <w:tc>
          <w:tcPr>
            <w:tcW w:w="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303"/>
        </w:trPr>
        <w:tc>
          <w:tcPr>
            <w:tcW w:w="68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900" w:type="dxa"/>
            <w:vAlign w:val="bottom"/>
            <w:shd w:val="clear" w:color="auto" w:fill="E6E6E6"/>
          </w:tcPr>
          <w:p>
            <w:pPr>
              <w:spacing w:after="0"/>
              <w:rPr>
                <w:sz w:val="24"/>
                <w:szCs w:val="24"/>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shd w:val="clear" w:color="auto" w:fill="E6E6E6"/>
          </w:tcPr>
          <w:p>
            <w:pPr>
              <w:spacing w:after="0"/>
              <w:rPr>
                <w:sz w:val="24"/>
                <w:szCs w:val="24"/>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378</w:t>
            </w:r>
          </w:p>
        </w:tc>
      </w:tr>
      <w:tr>
        <w:trPr>
          <w:trHeight w:val="305"/>
        </w:trPr>
        <w:tc>
          <w:tcPr>
            <w:tcW w:w="6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Sales, marketing and support</w:t>
            </w:r>
          </w:p>
        </w:tc>
        <w:tc>
          <w:tcPr>
            <w:tcW w:w="9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293</w:t>
            </w:r>
          </w:p>
        </w:tc>
      </w:tr>
      <w:tr>
        <w:trPr>
          <w:trHeight w:val="323"/>
        </w:trPr>
        <w:tc>
          <w:tcPr>
            <w:tcW w:w="6860" w:type="dxa"/>
            <w:vAlign w:val="bottom"/>
            <w:tcBorders>
              <w:bottom w:val="single" w:sz="8" w:color="E6E6E6"/>
            </w:tcBorders>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900" w:type="dxa"/>
            <w:vAlign w:val="bottom"/>
            <w:tcBorders>
              <w:bottom w:val="single" w:sz="8" w:color="auto"/>
            </w:tcBorders>
            <w:shd w:val="clear" w:color="auto" w:fill="E6E6E6"/>
          </w:tcPr>
          <w:p>
            <w:pPr>
              <w:spacing w:after="0"/>
              <w:rPr>
                <w:sz w:val="24"/>
                <w:szCs w:val="24"/>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1,181</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60" w:type="dxa"/>
            <w:vAlign w:val="bottom"/>
            <w:tcBorders>
              <w:bottom w:val="single" w:sz="8" w:color="auto"/>
            </w:tcBorders>
            <w:shd w:val="clear" w:color="auto" w:fill="E6E6E6"/>
          </w:tcPr>
          <w:p>
            <w:pPr>
              <w:spacing w:after="0"/>
              <w:rPr>
                <w:sz w:val="24"/>
                <w:szCs w:val="24"/>
                <w:color w:val="auto"/>
              </w:rPr>
            </w:pP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1,304</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7"/>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jc w:val="right"/>
              <w:ind w:right="670"/>
              <w:spacing w:after="0"/>
              <w:rPr>
                <w:sz w:val="20"/>
                <w:szCs w:val="20"/>
                <w:color w:val="auto"/>
              </w:rPr>
            </w:pPr>
            <w:r>
              <w:rPr>
                <w:rFonts w:ascii="Times New Roman" w:cs="Times New Roman" w:eastAsia="Times New Roman" w:hAnsi="Times New Roman"/>
                <w:sz w:val="19"/>
                <w:szCs w:val="19"/>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1,567</w:t>
            </w:r>
          </w:p>
        </w:tc>
        <w:tc>
          <w:tcPr>
            <w:tcW w:w="440" w:type="dxa"/>
            <w:vAlign w:val="bottom"/>
            <w:gridSpan w:val="3"/>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2,027</w:t>
            </w: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-223520</wp:posOffset>
                </wp:positionV>
                <wp:extent cx="434784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784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5999pt" to="342.8pt,-17.5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4353560</wp:posOffset>
                </wp:positionH>
                <wp:positionV relativeFrom="paragraph">
                  <wp:posOffset>-217805</wp:posOffset>
                </wp:positionV>
                <wp:extent cx="91948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948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8pt,-17.1499pt" to="415.2pt,-17.1499pt" o:allowincell="f" strokecolor="#FFFFFF" strokeweight="0.058pt"/>
            </w:pict>
          </mc:Fallback>
        </mc:AlternateContent>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i w:val="1"/>
          <w:iCs w:val="1"/>
          <w:color w:val="auto"/>
        </w:rPr>
        <w:t>(f) Accumulated Other Comprehensive Loss (AOCL)</w:t>
      </w:r>
    </w:p>
    <w:p>
      <w:pPr>
        <w:spacing w:after="0" w:line="313"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Comprehensive loss includes net loss and unrealized gains and losses from foreign currency translation. The components of the Company’s comprehensive loss and the effect on earnings for the periods presented are detailed in the accompanying consolidated statements of comprehensive loss.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Total Accumulated</w:t>
            </w:r>
          </w:p>
        </w:tc>
        <w:tc>
          <w:tcPr>
            <w:tcW w:w="0" w:type="dxa"/>
            <w:vAlign w:val="bottom"/>
          </w:tcPr>
          <w:p>
            <w:pPr>
              <w:spacing w:after="0"/>
              <w:rPr>
                <w:sz w:val="1"/>
                <w:szCs w:val="1"/>
                <w:color w:val="auto"/>
              </w:rPr>
            </w:pPr>
          </w:p>
        </w:tc>
      </w:tr>
      <w:tr>
        <w:trPr>
          <w:trHeight w:val="177"/>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rPr>
              <w:t>Other</w:t>
            </w:r>
          </w:p>
        </w:tc>
        <w:tc>
          <w:tcPr>
            <w:tcW w:w="0" w:type="dxa"/>
            <w:vAlign w:val="bottom"/>
          </w:tcPr>
          <w:p>
            <w:pPr>
              <w:spacing w:after="0"/>
              <w:rPr>
                <w:sz w:val="1"/>
                <w:szCs w:val="1"/>
                <w:color w:val="auto"/>
              </w:rPr>
            </w:pPr>
          </w:p>
        </w:tc>
      </w:tr>
      <w:tr>
        <w:trPr>
          <w:trHeight w:val="178"/>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Foreign Currency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0" w:type="dxa"/>
            <w:vAlign w:val="bottom"/>
          </w:tcPr>
          <w:p>
            <w:pPr>
              <w:spacing w:after="0"/>
              <w:rPr>
                <w:sz w:val="1"/>
                <w:szCs w:val="1"/>
                <w:color w:val="auto"/>
              </w:rPr>
            </w:pPr>
          </w:p>
        </w:tc>
      </w:tr>
      <w:tr>
        <w:trPr>
          <w:trHeight w:val="224"/>
        </w:trPr>
        <w:tc>
          <w:tcPr>
            <w:tcW w:w="68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b w:val="1"/>
                <w:bCs w:val="1"/>
                <w:color w:val="auto"/>
              </w:rPr>
              <w:t>Translation</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rPr>
              <w:t>Loss</w:t>
            </w:r>
          </w:p>
        </w:tc>
        <w:tc>
          <w:tcPr>
            <w:tcW w:w="0" w:type="dxa"/>
            <w:vAlign w:val="bottom"/>
          </w:tcPr>
          <w:p>
            <w:pPr>
              <w:spacing w:after="0"/>
              <w:rPr>
                <w:sz w:val="1"/>
                <w:szCs w:val="1"/>
                <w:color w:val="auto"/>
              </w:rPr>
            </w:pPr>
          </w:p>
        </w:tc>
      </w:tr>
      <w:tr>
        <w:trPr>
          <w:trHeight w:val="270"/>
        </w:trPr>
        <w:tc>
          <w:tcPr>
            <w:tcW w:w="68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Balance, December 31, 2023</w:t>
            </w:r>
          </w:p>
        </w:tc>
        <w:tc>
          <w:tcPr>
            <w:tcW w:w="26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(4,185)</w:t>
            </w:r>
          </w:p>
        </w:tc>
        <w:tc>
          <w:tcPr>
            <w:tcW w:w="2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(4,185)</w:t>
            </w:r>
          </w:p>
        </w:tc>
        <w:tc>
          <w:tcPr>
            <w:tcW w:w="0" w:type="dxa"/>
            <w:vAlign w:val="bottom"/>
          </w:tcPr>
          <w:p>
            <w:pPr>
              <w:spacing w:after="0"/>
              <w:rPr>
                <w:sz w:val="1"/>
                <w:szCs w:val="1"/>
                <w:color w:val="auto"/>
              </w:rPr>
            </w:pPr>
          </w:p>
        </w:tc>
      </w:tr>
      <w:tr>
        <w:trPr>
          <w:trHeight w:val="290"/>
        </w:trPr>
        <w:tc>
          <w:tcPr>
            <w:tcW w:w="686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rPr>
                <w:sz w:val="1"/>
                <w:szCs w:val="1"/>
                <w:color w:val="auto"/>
              </w:rPr>
            </w:pPr>
          </w:p>
        </w:tc>
      </w:tr>
      <w:tr>
        <w:trPr>
          <w:trHeight w:val="269"/>
        </w:trPr>
        <w:tc>
          <w:tcPr>
            <w:tcW w:w="6860" w:type="dxa"/>
            <w:vAlign w:val="bottom"/>
            <w:gridSpan w:val="2"/>
            <w:shd w:val="clear" w:color="auto" w:fill="E6E6E6"/>
          </w:tcPr>
          <w:p>
            <w:pPr>
              <w:ind w:left="240"/>
              <w:spacing w:after="0"/>
              <w:rPr>
                <w:sz w:val="20"/>
                <w:szCs w:val="20"/>
                <w:color w:val="auto"/>
              </w:rPr>
            </w:pPr>
            <w:r>
              <w:rPr>
                <w:rFonts w:ascii="Times New Roman" w:cs="Times New Roman" w:eastAsia="Times New Roman" w:hAnsi="Times New Roman"/>
                <w:sz w:val="19"/>
                <w:szCs w:val="19"/>
                <w:color w:val="auto"/>
              </w:rPr>
              <w:t>Net other comprehensive income</w:t>
            </w:r>
          </w:p>
        </w:tc>
        <w:tc>
          <w:tcPr>
            <w:tcW w:w="260" w:type="dxa"/>
            <w:vAlign w:val="bottom"/>
            <w:tcBorders>
              <w:bottom w:val="single" w:sz="8" w:color="auto"/>
            </w:tcBorders>
            <w:shd w:val="clear" w:color="auto" w:fill="E6E6E6"/>
          </w:tcPr>
          <w:p>
            <w:pPr>
              <w:spacing w:after="0"/>
              <w:rPr>
                <w:sz w:val="23"/>
                <w:szCs w:val="23"/>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6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80" w:type="dxa"/>
            <w:vAlign w:val="bottom"/>
            <w:tcBorders>
              <w:bottom w:val="single" w:sz="8" w:color="auto"/>
            </w:tcBorders>
            <w:shd w:val="clear" w:color="auto" w:fill="E6E6E6"/>
          </w:tcPr>
          <w:p>
            <w:pPr>
              <w:spacing w:after="0"/>
              <w:rPr>
                <w:sz w:val="23"/>
                <w:szCs w:val="23"/>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Balance, December 31, 2024</w:t>
            </w:r>
          </w:p>
        </w:tc>
        <w:tc>
          <w:tcPr>
            <w:tcW w:w="2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(4,032)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(4,032)</w:t>
            </w:r>
          </w:p>
        </w:tc>
        <w:tc>
          <w:tcPr>
            <w:tcW w:w="0" w:type="dxa"/>
            <w:vAlign w:val="bottom"/>
          </w:tcPr>
          <w:p>
            <w:pPr>
              <w:spacing w:after="0" w:line="20" w:lineRule="exact"/>
              <w:rPr>
                <w:sz w:val="1"/>
                <w:szCs w:val="1"/>
                <w:color w:val="auto"/>
              </w:rPr>
            </w:pPr>
          </w:p>
        </w:tc>
      </w:tr>
      <w:tr>
        <w:trPr>
          <w:trHeight w:val="250"/>
        </w:trPr>
        <w:tc>
          <w:tcPr>
            <w:tcW w:w="6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686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Other comprehensive loss</w:t>
            </w:r>
          </w:p>
        </w:tc>
        <w:tc>
          <w:tcPr>
            <w:tcW w:w="260" w:type="dxa"/>
            <w:vAlign w:val="bottom"/>
            <w:tcBorders>
              <w:bottom w:val="single" w:sz="8" w:color="auto"/>
            </w:tcBorders>
            <w:shd w:val="clear" w:color="auto" w:fill="E6E6E6"/>
          </w:tcPr>
          <w:p>
            <w:pPr>
              <w:spacing w:after="0"/>
              <w:rPr>
                <w:sz w:val="24"/>
                <w:szCs w:val="24"/>
                <w:color w:val="auto"/>
              </w:rPr>
            </w:pPr>
          </w:p>
        </w:tc>
        <w:tc>
          <w:tcPr>
            <w:tcW w:w="11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0" w:type="dxa"/>
            <w:vAlign w:val="bottom"/>
          </w:tcPr>
          <w:p>
            <w:pPr>
              <w:spacing w:after="0"/>
              <w:rPr>
                <w:sz w:val="1"/>
                <w:szCs w:val="1"/>
                <w:color w:val="auto"/>
              </w:rPr>
            </w:pPr>
          </w:p>
        </w:tc>
      </w:tr>
      <w:tr>
        <w:trPr>
          <w:trHeight w:val="269"/>
        </w:trPr>
        <w:tc>
          <w:tcPr>
            <w:tcW w:w="6860" w:type="dxa"/>
            <w:vAlign w:val="bottom"/>
            <w:tcBorders>
              <w:bottom w:val="single" w:sz="8" w:color="E6E6E6"/>
            </w:tcBorders>
            <w:gridSpan w:val="2"/>
          </w:tcPr>
          <w:p>
            <w:pPr>
              <w:ind w:left="240"/>
              <w:spacing w:after="0"/>
              <w:rPr>
                <w:sz w:val="20"/>
                <w:szCs w:val="20"/>
                <w:color w:val="auto"/>
              </w:rPr>
            </w:pPr>
            <w:r>
              <w:rPr>
                <w:rFonts w:ascii="Times New Roman" w:cs="Times New Roman" w:eastAsia="Times New Roman" w:hAnsi="Times New Roman"/>
                <w:sz w:val="19"/>
                <w:szCs w:val="19"/>
                <w:color w:val="auto"/>
              </w:rPr>
              <w:t>Net other comprehensive loss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60" w:type="dxa"/>
            <w:vAlign w:val="bottom"/>
            <w:tcBorders>
              <w:bottom w:val="single" w:sz="8" w:color="E6E6E6"/>
            </w:tcBorders>
          </w:tcPr>
          <w:p>
            <w:pPr>
              <w:spacing w:after="0"/>
              <w:rPr>
                <w:sz w:val="23"/>
                <w:szCs w:val="23"/>
                <w:color w:val="auto"/>
              </w:rPr>
            </w:pPr>
          </w:p>
        </w:tc>
        <w:tc>
          <w:tcPr>
            <w:tcW w:w="20" w:type="dxa"/>
            <w:vAlign w:val="bottom"/>
            <w:tcBorders>
              <w:bottom w:val="single" w:sz="8" w:color="E6E6E6"/>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0" w:type="dxa"/>
            <w:vAlign w:val="bottom"/>
          </w:tcPr>
          <w:p>
            <w:pPr>
              <w:spacing w:after="0"/>
              <w:rPr>
                <w:sz w:val="1"/>
                <w:szCs w:val="1"/>
                <w:color w:val="auto"/>
              </w:rPr>
            </w:pPr>
          </w:p>
        </w:tc>
      </w:tr>
      <w:tr>
        <w:trPr>
          <w:trHeight w:val="271"/>
        </w:trPr>
        <w:tc>
          <w:tcPr>
            <w:tcW w:w="68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Balance, December 31, 2025</w:t>
            </w:r>
          </w:p>
        </w:tc>
        <w:tc>
          <w:tcPr>
            <w:tcW w:w="26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(4,161)</w:t>
            </w:r>
          </w:p>
        </w:tc>
        <w:tc>
          <w:tcPr>
            <w:tcW w:w="2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b w:val="1"/>
                <w:bCs w:val="1"/>
                <w:color w:val="auto"/>
              </w:rPr>
              <w:t>(4,161)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-765810</wp:posOffset>
                </wp:positionV>
                <wp:extent cx="43478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784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0.2999pt" to="342.8pt,-60.2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4353560</wp:posOffset>
                </wp:positionH>
                <wp:positionV relativeFrom="paragraph">
                  <wp:posOffset>-759460</wp:posOffset>
                </wp:positionV>
                <wp:extent cx="91948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948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8pt,-59.7999pt" to="415.2pt,-59.7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-759460</wp:posOffset>
                </wp:positionV>
                <wp:extent cx="91884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84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8pt,-59.7999pt" to="491.15pt,-59.7999pt" o:allowincell="f" strokecolor="#FFFFFF" strokeweight="0.05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0" w:orient="portrait"/>
          <w:cols w:equalWidth="0" w:num="1">
            <w:col w:w="9920"/>
          </w:cols>
          <w:pgMar w:left="980" w:top="600" w:right="980" w:bottom="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06" w:lineRule="exact"/>
        <w:rPr>
          <w:sz w:val="20"/>
          <w:szCs w:val="20"/>
          <w:color w:val="auto"/>
        </w:rPr>
      </w:pPr>
    </w:p>
    <w:p>
      <w:pPr>
        <w:ind w:left="700" w:hanging="690"/>
        <w:spacing w:after="0"/>
        <w:tabs>
          <w:tab w:leader="none" w:pos="700"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317"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9"/>
          <w:szCs w:val="19"/>
          <w:color w:val="auto"/>
        </w:rPr>
        <w:t>Income tax (benefit) expense for the years ended December 31, 2025 and 2024 attributable to loss from operations is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Borders>
              <w:bottom w:val="single" w:sz="8" w:color="E6E6E6"/>
            </w:tcBorders>
          </w:tcPr>
          <w:p>
            <w:pPr>
              <w:spacing w:after="0"/>
              <w:rPr>
                <w:sz w:val="16"/>
                <w:szCs w:val="16"/>
                <w:color w:val="auto"/>
              </w:rPr>
            </w:pPr>
          </w:p>
        </w:tc>
        <w:tc>
          <w:tcPr>
            <w:tcW w:w="2440" w:type="dxa"/>
            <w:vAlign w:val="bottom"/>
            <w:tcBorders>
              <w:bottom w:val="single" w:sz="8" w:color="E6E6E6"/>
            </w:tcBorders>
          </w:tcPr>
          <w:p>
            <w:pPr>
              <w:spacing w:after="0"/>
              <w:rPr>
                <w:sz w:val="16"/>
                <w:szCs w:val="16"/>
                <w:color w:val="auto"/>
              </w:rPr>
            </w:pPr>
          </w:p>
        </w:tc>
        <w:tc>
          <w:tcPr>
            <w:tcW w:w="3400" w:type="dxa"/>
            <w:vAlign w:val="bottom"/>
            <w:tcBorders>
              <w:bottom w:val="single" w:sz="8" w:color="E6E6E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80" w:type="dxa"/>
            <w:vAlign w:val="bottom"/>
            <w:tcBorders>
              <w:bottom w:val="single" w:sz="8" w:color="E6E6E6"/>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Deferred</w:t>
            </w:r>
          </w:p>
        </w:tc>
        <w:tc>
          <w:tcPr>
            <w:tcW w:w="60" w:type="dxa"/>
            <w:vAlign w:val="bottom"/>
            <w:tcBorders>
              <w:bottom w:val="single" w:sz="8" w:color="E6E6E6"/>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54"/>
        </w:trPr>
        <w:tc>
          <w:tcPr>
            <w:tcW w:w="60" w:type="dxa"/>
            <w:vAlign w:val="bottom"/>
            <w:tcBorders>
              <w:bottom w:val="single" w:sz="8" w:color="E6E6E6"/>
            </w:tcBorders>
            <w:shd w:val="clear" w:color="auto" w:fill="E6E6E6"/>
          </w:tcPr>
          <w:p>
            <w:pPr>
              <w:spacing w:after="0"/>
              <w:rPr>
                <w:sz w:val="22"/>
                <w:szCs w:val="22"/>
                <w:color w:val="auto"/>
              </w:rPr>
            </w:pPr>
          </w:p>
        </w:tc>
        <w:tc>
          <w:tcPr>
            <w:tcW w:w="2440" w:type="dxa"/>
            <w:vAlign w:val="bottom"/>
            <w:tcBorders>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9"/>
                <w:szCs w:val="19"/>
                <w:color w:val="auto"/>
              </w:rPr>
              <w:t>Year ended December 31, 2025</w:t>
            </w:r>
          </w:p>
        </w:tc>
        <w:tc>
          <w:tcPr>
            <w:tcW w:w="340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1000" w:type="dxa"/>
            <w:vAlign w:val="bottom"/>
            <w:tcBorders>
              <w:bottom w:val="single" w:sz="8" w:color="E6E6E6"/>
            </w:tcBorders>
            <w:shd w:val="clear" w:color="auto" w:fill="E6E6E6"/>
          </w:tcPr>
          <w:p>
            <w:pPr>
              <w:spacing w:after="0"/>
              <w:rPr>
                <w:sz w:val="22"/>
                <w:szCs w:val="22"/>
                <w:color w:val="auto"/>
              </w:rPr>
            </w:pPr>
          </w:p>
        </w:tc>
        <w:tc>
          <w:tcPr>
            <w:tcW w:w="80" w:type="dxa"/>
            <w:vAlign w:val="bottom"/>
            <w:tcBorders>
              <w:bottom w:val="single" w:sz="8" w:color="E6E6E6"/>
            </w:tcBorders>
            <w:shd w:val="clear" w:color="auto" w:fill="E6E6E6"/>
          </w:tcPr>
          <w:p>
            <w:pPr>
              <w:spacing w:after="0"/>
              <w:rPr>
                <w:sz w:val="22"/>
                <w:szCs w:val="22"/>
                <w:color w:val="auto"/>
              </w:rPr>
            </w:pPr>
          </w:p>
        </w:tc>
        <w:tc>
          <w:tcPr>
            <w:tcW w:w="240" w:type="dxa"/>
            <w:vAlign w:val="bottom"/>
            <w:tcBorders>
              <w:bottom w:val="single" w:sz="8" w:color="E6E6E6"/>
            </w:tcBorders>
            <w:shd w:val="clear" w:color="auto" w:fill="E6E6E6"/>
          </w:tcPr>
          <w:p>
            <w:pPr>
              <w:spacing w:after="0"/>
              <w:rPr>
                <w:sz w:val="22"/>
                <w:szCs w:val="22"/>
                <w:color w:val="auto"/>
              </w:rPr>
            </w:pPr>
          </w:p>
        </w:tc>
        <w:tc>
          <w:tcPr>
            <w:tcW w:w="1020" w:type="dxa"/>
            <w:vAlign w:val="bottom"/>
            <w:tcBorders>
              <w:bottom w:val="single" w:sz="8" w:color="E6E6E6"/>
            </w:tcBorders>
            <w:shd w:val="clear" w:color="auto" w:fill="E6E6E6"/>
          </w:tcPr>
          <w:p>
            <w:pPr>
              <w:spacing w:after="0"/>
              <w:rPr>
                <w:sz w:val="22"/>
                <w:szCs w:val="22"/>
                <w:color w:val="auto"/>
              </w:rPr>
            </w:pPr>
          </w:p>
        </w:tc>
        <w:tc>
          <w:tcPr>
            <w:tcW w:w="6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94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Federal</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gridSpan w:val="3"/>
          </w:tcPr>
          <w:p>
            <w:pPr>
              <w:jc w:val="right"/>
              <w:ind w:right="3"/>
              <w:spacing w:after="0"/>
              <w:rPr>
                <w:sz w:val="20"/>
                <w:szCs w:val="20"/>
                <w:color w:val="auto"/>
              </w:rPr>
            </w:pPr>
            <w:r>
              <w:rPr>
                <w:rFonts w:ascii="Times New Roman" w:cs="Times New Roman" w:eastAsia="Times New Roman" w:hAnsi="Times New Roman"/>
                <w:sz w:val="19"/>
                <w:szCs w:val="19"/>
                <w:color w:val="auto"/>
              </w:rPr>
              <w:t>—  $</w:t>
            </w:r>
          </w:p>
        </w:tc>
        <w:tc>
          <w:tcPr>
            <w:tcW w:w="1400" w:type="dxa"/>
            <w:vAlign w:val="bottom"/>
            <w:gridSpan w:val="3"/>
          </w:tcPr>
          <w:p>
            <w:pPr>
              <w:jc w:val="right"/>
              <w:ind w:right="63"/>
              <w:spacing w:after="0"/>
              <w:rPr>
                <w:sz w:val="20"/>
                <w:szCs w:val="20"/>
                <w:color w:val="auto"/>
              </w:rPr>
            </w:pPr>
            <w:r>
              <w:rPr>
                <w:rFonts w:ascii="Times New Roman" w:cs="Times New Roman" w:eastAsia="Times New Roman" w:hAnsi="Times New Roman"/>
                <w:sz w:val="19"/>
                <w:szCs w:val="19"/>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584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State*</w:t>
            </w:r>
          </w:p>
        </w:tc>
        <w:tc>
          <w:tcPr>
            <w:tcW w:w="260" w:type="dxa"/>
            <w:vAlign w:val="bottom"/>
            <w:shd w:val="clear" w:color="auto" w:fill="E6E6E6"/>
          </w:tcPr>
          <w:p>
            <w:pPr>
              <w:spacing w:after="0"/>
              <w:rPr>
                <w:sz w:val="24"/>
                <w:szCs w:val="24"/>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314"/>
        </w:trPr>
        <w:tc>
          <w:tcPr>
            <w:tcW w:w="60" w:type="dxa"/>
            <w:vAlign w:val="bottom"/>
            <w:tcBorders>
              <w:bottom w:val="single" w:sz="8" w:color="E6E6E6"/>
            </w:tcBorders>
          </w:tcPr>
          <w:p>
            <w:pPr>
              <w:spacing w:after="0"/>
              <w:rPr>
                <w:sz w:val="24"/>
                <w:szCs w:val="24"/>
                <w:color w:val="auto"/>
              </w:rPr>
            </w:pPr>
          </w:p>
        </w:tc>
        <w:tc>
          <w:tcPr>
            <w:tcW w:w="584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9"/>
                <w:szCs w:val="19"/>
                <w:color w:val="auto"/>
              </w:rPr>
              <w:t>Foreign</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335</w:t>
            </w:r>
          </w:p>
        </w:tc>
        <w:tc>
          <w:tcPr>
            <w:tcW w:w="8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(454)</w:t>
            </w:r>
          </w:p>
        </w:tc>
        <w:tc>
          <w:tcPr>
            <w:tcW w:w="6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w:t>
            </w:r>
          </w:p>
        </w:tc>
        <w:tc>
          <w:tcPr>
            <w:tcW w:w="0" w:type="dxa"/>
            <w:vAlign w:val="bottom"/>
          </w:tcPr>
          <w:p>
            <w:pPr>
              <w:spacing w:after="0"/>
              <w:rPr>
                <w:sz w:val="1"/>
                <w:szCs w:val="1"/>
                <w:color w:val="auto"/>
              </w:rPr>
            </w:pPr>
          </w:p>
        </w:tc>
      </w:tr>
      <w:tr>
        <w:trPr>
          <w:trHeight w:val="249"/>
        </w:trPr>
        <w:tc>
          <w:tcPr>
            <w:tcW w:w="60" w:type="dxa"/>
            <w:vAlign w:val="bottom"/>
            <w:tcBorders>
              <w:top w:val="single" w:sz="8" w:color="E6E6E6"/>
            </w:tcBorders>
            <w:shd w:val="clear" w:color="auto" w:fill="E6E6E6"/>
          </w:tcPr>
          <w:p>
            <w:pPr>
              <w:spacing w:after="0"/>
              <w:rPr>
                <w:sz w:val="21"/>
                <w:szCs w:val="21"/>
                <w:color w:val="auto"/>
              </w:rPr>
            </w:pPr>
          </w:p>
        </w:tc>
        <w:tc>
          <w:tcPr>
            <w:tcW w:w="2440" w:type="dxa"/>
            <w:vAlign w:val="bottom"/>
            <w:tcBorders>
              <w:top w:val="single" w:sz="8" w:color="E6E6E6"/>
            </w:tcBorders>
            <w:shd w:val="clear" w:color="auto" w:fill="E6E6E6"/>
          </w:tcPr>
          <w:p>
            <w:pPr>
              <w:spacing w:after="0"/>
              <w:rPr>
                <w:sz w:val="21"/>
                <w:szCs w:val="21"/>
                <w:color w:val="auto"/>
              </w:rPr>
            </w:pPr>
          </w:p>
        </w:tc>
        <w:tc>
          <w:tcPr>
            <w:tcW w:w="340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E6E6E6"/>
              <w:bottom w:val="single" w:sz="8" w:color="auto"/>
            </w:tcBorders>
            <w:shd w:val="clear" w:color="auto" w:fill="E6E6E6"/>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323</w:t>
            </w:r>
          </w:p>
        </w:tc>
        <w:tc>
          <w:tcPr>
            <w:tcW w:w="80" w:type="dxa"/>
            <w:vAlign w:val="bottom"/>
            <w:tcBorders>
              <w:top w:val="single" w:sz="8" w:color="E6E6E6"/>
            </w:tcBorders>
            <w:shd w:val="clear" w:color="auto" w:fill="E6E6E6"/>
          </w:tcPr>
          <w:p>
            <w:pPr>
              <w:spacing w:after="0"/>
              <w:rPr>
                <w:sz w:val="21"/>
                <w:szCs w:val="21"/>
                <w:color w:val="auto"/>
              </w:rPr>
            </w:pPr>
          </w:p>
        </w:tc>
        <w:tc>
          <w:tcPr>
            <w:tcW w:w="2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(454)</w:t>
            </w:r>
          </w:p>
        </w:tc>
        <w:tc>
          <w:tcPr>
            <w:tcW w:w="6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bottom w:val="single" w:sz="8" w:color="auto"/>
            </w:tcBorders>
            <w:shd w:val="clear" w:color="auto" w:fill="E6E6E6"/>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Year ended December 31, 2024</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 w:type="dxa"/>
            <w:vAlign w:val="bottom"/>
          </w:tcPr>
          <w:p>
            <w:pPr>
              <w:spacing w:after="0"/>
              <w:rPr>
                <w:sz w:val="18"/>
                <w:szCs w:val="18"/>
                <w:color w:val="auto"/>
              </w:rPr>
            </w:pPr>
          </w:p>
        </w:tc>
        <w:tc>
          <w:tcPr>
            <w:tcW w:w="5840" w:type="dxa"/>
            <w:vAlign w:val="bottom"/>
            <w:tcBorders>
              <w:bottom w:val="single" w:sz="8" w:color="auto"/>
            </w:tcBorders>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60" w:type="dxa"/>
            <w:vAlign w:val="bottom"/>
            <w:shd w:val="clear" w:color="auto" w:fill="E6E6E6"/>
          </w:tcPr>
          <w:p>
            <w:pPr>
              <w:spacing w:after="0"/>
              <w:rPr>
                <w:sz w:val="24"/>
                <w:szCs w:val="24"/>
                <w:color w:val="auto"/>
              </w:rPr>
            </w:pPr>
          </w:p>
        </w:tc>
        <w:tc>
          <w:tcPr>
            <w:tcW w:w="584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Federal</w:t>
            </w:r>
          </w:p>
        </w:tc>
        <w:tc>
          <w:tcPr>
            <w:tcW w:w="260" w:type="dxa"/>
            <w:vAlign w:val="bottom"/>
            <w:shd w:val="clear" w:color="auto" w:fill="E6E6E6"/>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80" w:type="dxa"/>
            <w:vAlign w:val="bottom"/>
            <w:shd w:val="clear" w:color="auto" w:fill="E6E6E6"/>
          </w:tcPr>
          <w:p>
            <w:pPr>
              <w:spacing w:after="0"/>
              <w:rPr>
                <w:sz w:val="24"/>
                <w:szCs w:val="24"/>
                <w:color w:val="auto"/>
              </w:rPr>
            </w:pPr>
          </w:p>
        </w:tc>
        <w:tc>
          <w:tcPr>
            <w:tcW w:w="240" w:type="dxa"/>
            <w:vAlign w:val="bottom"/>
            <w:shd w:val="clear" w:color="auto" w:fill="E6E6E6"/>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gridSpan w:val="3"/>
            <w:shd w:val="clear" w:color="auto" w:fill="E6E6E6"/>
          </w:tcPr>
          <w:p>
            <w:pPr>
              <w:jc w:val="right"/>
              <w:ind w:right="63"/>
              <w:spacing w:after="0"/>
              <w:rPr>
                <w:sz w:val="20"/>
                <w:szCs w:val="20"/>
                <w:color w:val="auto"/>
              </w:rPr>
            </w:pPr>
            <w:r>
              <w:rPr>
                <w:rFonts w:ascii="Times New Roman" w:cs="Times New Roman" w:eastAsia="Times New Roman" w:hAnsi="Times New Roman"/>
                <w:sz w:val="19"/>
                <w:szCs w:val="19"/>
                <w:color w:val="auto"/>
              </w:rPr>
              <w:t>—  $</w:t>
            </w: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584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State*</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5840" w:type="dxa"/>
            <w:vAlign w:val="bottom"/>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Foreign</w:t>
            </w:r>
          </w:p>
        </w:tc>
        <w:tc>
          <w:tcPr>
            <w:tcW w:w="260" w:type="dxa"/>
            <w:vAlign w:val="bottom"/>
            <w:tcBorders>
              <w:bottom w:val="single" w:sz="8" w:color="auto"/>
            </w:tcBorders>
            <w:shd w:val="clear" w:color="auto" w:fill="E6E6E6"/>
          </w:tcPr>
          <w:p>
            <w:pPr>
              <w:spacing w:after="0"/>
              <w:rPr>
                <w:sz w:val="24"/>
                <w:szCs w:val="24"/>
                <w:color w:val="auto"/>
              </w:rPr>
            </w:pPr>
          </w:p>
        </w:tc>
        <w:tc>
          <w:tcPr>
            <w:tcW w:w="1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274</w:t>
            </w:r>
          </w:p>
        </w:tc>
        <w:tc>
          <w:tcPr>
            <w:tcW w:w="80" w:type="dxa"/>
            <w:vAlign w:val="bottom"/>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1020" w:type="dxa"/>
            <w:vAlign w:val="bottom"/>
            <w:tcBorders>
              <w:bottom w:val="single" w:sz="8" w:color="auto"/>
            </w:tcBorders>
            <w:shd w:val="clear" w:color="auto" w:fill="E6E6E6"/>
          </w:tcPr>
          <w:p>
            <w:pPr>
              <w:jc w:val="right"/>
              <w:ind w:right="5"/>
              <w:spacing w:after="0"/>
              <w:rPr>
                <w:sz w:val="20"/>
                <w:szCs w:val="20"/>
                <w:color w:val="auto"/>
              </w:rPr>
            </w:pPr>
            <w:r>
              <w:rPr>
                <w:rFonts w:ascii="Times New Roman" w:cs="Times New Roman" w:eastAsia="Times New Roman" w:hAnsi="Times New Roman"/>
                <w:sz w:val="19"/>
                <w:szCs w:val="19"/>
                <w:color w:val="auto"/>
              </w:rPr>
              <w:t>117</w:t>
            </w:r>
          </w:p>
        </w:tc>
        <w:tc>
          <w:tcPr>
            <w:tcW w:w="60" w:type="dxa"/>
            <w:vAlign w:val="bottom"/>
            <w:shd w:val="clear" w:color="auto" w:fill="E6E6E6"/>
          </w:tcPr>
          <w:p>
            <w:pPr>
              <w:spacing w:after="0"/>
              <w:rPr>
                <w:sz w:val="24"/>
                <w:szCs w:val="24"/>
                <w:color w:val="auto"/>
              </w:rPr>
            </w:pPr>
          </w:p>
        </w:tc>
        <w:tc>
          <w:tcPr>
            <w:tcW w:w="3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391</w:t>
            </w: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w:t>
            </w:r>
          </w:p>
        </w:tc>
        <w:tc>
          <w:tcPr>
            <w:tcW w:w="3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117</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3738245</wp:posOffset>
                </wp:positionH>
                <wp:positionV relativeFrom="paragraph">
                  <wp:posOffset>-6350</wp:posOffset>
                </wp:positionV>
                <wp:extent cx="80835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35pt,-0.4999pt" to="358pt,-0.4999pt" o:allowincell="f" strokecolor="#000000" strokeweight="0.9269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-6350</wp:posOffset>
                </wp:positionV>
                <wp:extent cx="80772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0.4999pt" to="424.55pt,-0.4999pt" o:allowincell="f" strokecolor="#000000" strokeweight="0.9269pt"/>
            </w:pict>
          </mc:Fallback>
        </mc:AlternateContent>
        <mc:AlternateContent>
          <mc:Choice Requires="wps">
            <w:drawing>
              <wp:anchor simplePos="0" relativeHeight="251657728" behindDoc="1" locked="0" layoutInCell="0" allowOverlap="1">
                <wp:simplePos x="0" y="0"/>
                <wp:positionH relativeFrom="column">
                  <wp:posOffset>5429250</wp:posOffset>
                </wp:positionH>
                <wp:positionV relativeFrom="paragraph">
                  <wp:posOffset>-6350</wp:posOffset>
                </wp:positionV>
                <wp:extent cx="80835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0.4999pt" to="491.15pt,-0.4999pt" o:allowincell="f" strokecolor="#000000" strokeweight="0.9269pt"/>
            </w:pict>
          </mc:Fallback>
        </mc:AlternateContent>
      </w:r>
    </w:p>
    <w:p>
      <w:pPr>
        <w:spacing w:after="0"/>
        <w:rPr>
          <w:sz w:val="20"/>
          <w:szCs w:val="20"/>
          <w:color w:val="auto"/>
        </w:rPr>
      </w:pPr>
      <w:r>
        <w:rPr>
          <w:rFonts w:ascii="Times New Roman" w:cs="Times New Roman" w:eastAsia="Times New Roman" w:hAnsi="Times New Roman"/>
          <w:sz w:val="19"/>
          <w:szCs w:val="19"/>
          <w:color w:val="auto"/>
        </w:rPr>
        <w:t>*- State taxes in Rhode Island make up the majority of the tax effect in this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3738245</wp:posOffset>
                </wp:positionH>
                <wp:positionV relativeFrom="paragraph">
                  <wp:posOffset>-131445</wp:posOffset>
                </wp:positionV>
                <wp:extent cx="80835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35pt,-10.3499pt" to="358pt,-10.3499pt" o:allowincell="f" strokecolor="#000000" strokeweight="0.926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-131445</wp:posOffset>
                </wp:positionV>
                <wp:extent cx="8077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10.3499pt" to="424.55pt,-10.3499pt" o:allowincell="f" strokecolor="#000000" strokeweight="0.926pt"/>
            </w:pict>
          </mc:Fallback>
        </mc:AlternateContent>
        <mc:AlternateContent>
          <mc:Choice Requires="wps">
            <w:drawing>
              <wp:anchor simplePos="0" relativeHeight="251657728" behindDoc="1" locked="0" layoutInCell="0" allowOverlap="1">
                <wp:simplePos x="0" y="0"/>
                <wp:positionH relativeFrom="column">
                  <wp:posOffset>5429250</wp:posOffset>
                </wp:positionH>
                <wp:positionV relativeFrom="paragraph">
                  <wp:posOffset>-131445</wp:posOffset>
                </wp:positionV>
                <wp:extent cx="80835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8355" cy="4763"/>
                        </a:xfrm>
                        <a:prstGeom prst="line">
                          <a:avLst/>
                        </a:prstGeom>
                        <a:solidFill>
                          <a:srgbClr val="FFFFFF"/>
                        </a:solidFill>
                        <a:ln w="1176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10.3499pt" to="491.15pt,-10.3499pt" o:allowincell="f" strokecolor="#000000" strokeweight="0.926pt"/>
            </w:pict>
          </mc:Fallback>
        </mc:AlternateContent>
      </w:r>
    </w:p>
    <w:p>
      <w:pPr>
        <w:spacing w:after="0" w:line="29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The Company adopted ASU 2023-09 “Income Taxes (Topic 740): Improvements to Income Tax Disclosures” on a prospective basis for the year ended December 31, 2025. A reconciliation of income tax computed using the U.S. federal statutory rate of 21% compared to that reflected in operations, as required by ASU 2023-09, for the year ended December 31, 2025 consists of:</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r>
      <w:tr>
        <w:trPr>
          <w:trHeight w:val="225"/>
        </w:trPr>
        <w:tc>
          <w:tcPr>
            <w:tcW w:w="7260" w:type="dxa"/>
            <w:vAlign w:val="bottom"/>
            <w:tcBorders>
              <w:bottom w:val="single" w:sz="8" w:color="E6E6E6"/>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6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auto"/>
              </w:rPr>
              <w:t>Percent</w:t>
            </w:r>
          </w:p>
        </w:tc>
      </w:tr>
      <w:tr>
        <w:trPr>
          <w:trHeight w:val="270"/>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Income tax benefit at Federal statutory income tax rate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right w:val="single" w:sz="8" w:color="E6E6E6"/>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(1,578)</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21.00 %</w:t>
            </w:r>
          </w:p>
        </w:tc>
      </w:tr>
      <w:tr>
        <w:trPr>
          <w:trHeight w:val="290"/>
        </w:trPr>
        <w:tc>
          <w:tcPr>
            <w:tcW w:w="72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Increase (decrease) in income taxes resulting from:</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9"/>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State income tax (expense) benefit, net of federal benefit*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E6E6E6"/>
            </w:tcBorders>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E6E6E6"/>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r>
      <w:tr>
        <w:trPr>
          <w:trHeight w:val="290"/>
        </w:trPr>
        <w:tc>
          <w:tcPr>
            <w:tcW w:w="72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Foreign tax effects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Brazil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0"/>
        </w:trPr>
        <w:tc>
          <w:tcPr>
            <w:tcW w:w="72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Statutory rate difference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20" w:type="dxa"/>
            <w:vAlign w:val="bottom"/>
          </w:tcPr>
          <w:p>
            <w:pPr>
              <w:spacing w:after="0"/>
              <w:rPr>
                <w:sz w:val="24"/>
                <w:szCs w:val="24"/>
                <w:color w:val="auto"/>
              </w:rPr>
            </w:pP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(0.47)</w:t>
            </w:r>
          </w:p>
        </w:tc>
      </w:tr>
      <w:tr>
        <w:trPr>
          <w:trHeight w:val="290"/>
        </w:trPr>
        <w:tc>
          <w:tcPr>
            <w:tcW w:w="7260" w:type="dxa"/>
            <w:vAlign w:val="bottom"/>
            <w:tcBorders>
              <w:right w:val="single" w:sz="8" w:color="E6E6E6"/>
            </w:tcBorders>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Valuation allowance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E6E6E6"/>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(329)</w:t>
            </w:r>
          </w:p>
        </w:tc>
        <w:tc>
          <w:tcPr>
            <w:tcW w:w="1260" w:type="dxa"/>
            <w:vAlign w:val="bottom"/>
            <w:shd w:val="clear" w:color="auto" w:fill="E6E6E6"/>
          </w:tcPr>
          <w:p>
            <w:pPr>
              <w:jc w:val="right"/>
              <w:ind w:right="145"/>
              <w:spacing w:after="0"/>
              <w:rPr>
                <w:sz w:val="20"/>
                <w:szCs w:val="20"/>
                <w:color w:val="auto"/>
              </w:rPr>
            </w:pPr>
            <w:r>
              <w:rPr>
                <w:rFonts w:ascii="Times New Roman" w:cs="Times New Roman" w:eastAsia="Times New Roman" w:hAnsi="Times New Roman"/>
                <w:sz w:val="19"/>
                <w:szCs w:val="19"/>
                <w:color w:val="auto"/>
              </w:rPr>
              <w:t>4.38</w:t>
            </w:r>
          </w:p>
        </w:tc>
      </w:tr>
      <w:tr>
        <w:trPr>
          <w:trHeight w:val="289"/>
        </w:trPr>
        <w:tc>
          <w:tcPr>
            <w:tcW w:w="72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Other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120" w:type="dxa"/>
            <w:vAlign w:val="bottom"/>
          </w:tcPr>
          <w:p>
            <w:pPr>
              <w:spacing w:after="0"/>
              <w:rPr>
                <w:sz w:val="24"/>
                <w:szCs w:val="24"/>
                <w:color w:val="auto"/>
              </w:rPr>
            </w:pP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(1.01)</w:t>
            </w:r>
          </w:p>
        </w:tc>
      </w:tr>
      <w:tr>
        <w:trPr>
          <w:trHeight w:val="289"/>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Other foreign jurisdictions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spacing w:after="0"/>
              <w:rPr>
                <w:sz w:val="24"/>
                <w:szCs w:val="24"/>
                <w:color w:val="auto"/>
              </w:rPr>
            </w:pPr>
          </w:p>
        </w:tc>
      </w:tr>
      <w:tr>
        <w:trPr>
          <w:trHeight w:val="290"/>
        </w:trPr>
        <w:tc>
          <w:tcPr>
            <w:tcW w:w="72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Statutory rate difference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(8)</w:t>
            </w:r>
          </w:p>
        </w:tc>
        <w:tc>
          <w:tcPr>
            <w:tcW w:w="126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0.11</w:t>
            </w:r>
          </w:p>
        </w:tc>
      </w:tr>
      <w:tr>
        <w:trPr>
          <w:trHeight w:val="289"/>
        </w:trPr>
        <w:tc>
          <w:tcPr>
            <w:tcW w:w="7260" w:type="dxa"/>
            <w:vAlign w:val="bottom"/>
            <w:tcBorders>
              <w:right w:val="single" w:sz="8" w:color="E6E6E6"/>
            </w:tcBorders>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Valuation allowance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jc w:val="right"/>
              <w:ind w:right="85"/>
              <w:spacing w:after="0"/>
              <w:rPr>
                <w:sz w:val="20"/>
                <w:szCs w:val="20"/>
                <w:color w:val="auto"/>
              </w:rPr>
            </w:pPr>
            <w:r>
              <w:rPr>
                <w:rFonts w:ascii="Times New Roman" w:cs="Times New Roman" w:eastAsia="Times New Roman" w:hAnsi="Times New Roman"/>
                <w:sz w:val="19"/>
                <w:szCs w:val="19"/>
                <w:color w:val="auto"/>
              </w:rPr>
              <w:t>(0.35)</w:t>
            </w:r>
          </w:p>
        </w:tc>
      </w:tr>
      <w:tr>
        <w:trPr>
          <w:trHeight w:val="290"/>
        </w:trPr>
        <w:tc>
          <w:tcPr>
            <w:tcW w:w="72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Other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c>
          <w:tcPr>
            <w:tcW w:w="120" w:type="dxa"/>
            <w:vAlign w:val="bottom"/>
          </w:tcPr>
          <w:p>
            <w:pPr>
              <w:spacing w:after="0"/>
              <w:rPr>
                <w:sz w:val="24"/>
                <w:szCs w:val="24"/>
                <w:color w:val="auto"/>
              </w:rPr>
            </w:pP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(1.61)</w:t>
            </w:r>
          </w:p>
        </w:tc>
      </w:tr>
      <w:tr>
        <w:trPr>
          <w:trHeight w:val="290"/>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Changes in valuation allowance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1,239</w:t>
            </w: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jc w:val="right"/>
              <w:ind w:right="85"/>
              <w:spacing w:after="0"/>
              <w:rPr>
                <w:sz w:val="20"/>
                <w:szCs w:val="20"/>
                <w:color w:val="auto"/>
              </w:rPr>
            </w:pPr>
            <w:r>
              <w:rPr>
                <w:rFonts w:ascii="Times New Roman" w:cs="Times New Roman" w:eastAsia="Times New Roman" w:hAnsi="Times New Roman"/>
                <w:sz w:val="19"/>
                <w:szCs w:val="19"/>
                <w:color w:val="auto"/>
              </w:rPr>
              <w:t>(16.49)</w:t>
            </w:r>
          </w:p>
        </w:tc>
      </w:tr>
      <w:tr>
        <w:trPr>
          <w:trHeight w:val="289"/>
        </w:trPr>
        <w:tc>
          <w:tcPr>
            <w:tcW w:w="72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Non-taxable or non-deductible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9"/>
        </w:trPr>
        <w:tc>
          <w:tcPr>
            <w:tcW w:w="7260" w:type="dxa"/>
            <w:vAlign w:val="bottom"/>
            <w:tcBorders>
              <w:right w:val="single" w:sz="8" w:color="E6E6E6"/>
            </w:tcBorders>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Share-based payment awards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jc w:val="right"/>
              <w:ind w:right="85"/>
              <w:spacing w:after="0"/>
              <w:rPr>
                <w:sz w:val="20"/>
                <w:szCs w:val="20"/>
                <w:color w:val="auto"/>
              </w:rPr>
            </w:pPr>
            <w:r>
              <w:rPr>
                <w:rFonts w:ascii="Times New Roman" w:cs="Times New Roman" w:eastAsia="Times New Roman" w:hAnsi="Times New Roman"/>
                <w:sz w:val="19"/>
                <w:szCs w:val="19"/>
                <w:color w:val="auto"/>
              </w:rPr>
              <w:t>(2.07)</w:t>
            </w:r>
          </w:p>
        </w:tc>
      </w:tr>
      <w:tr>
        <w:trPr>
          <w:trHeight w:val="305"/>
        </w:trPr>
        <w:tc>
          <w:tcPr>
            <w:tcW w:w="7260" w:type="dxa"/>
            <w:vAlign w:val="bottom"/>
          </w:tcPr>
          <w:p>
            <w:pPr>
              <w:ind w:left="760"/>
              <w:spacing w:after="0"/>
              <w:rPr>
                <w:sz w:val="20"/>
                <w:szCs w:val="20"/>
                <w:color w:val="auto"/>
              </w:rPr>
            </w:pPr>
            <w:r>
              <w:rPr>
                <w:rFonts w:ascii="Times New Roman" w:cs="Times New Roman" w:eastAsia="Times New Roman" w:hAnsi="Times New Roman"/>
                <w:sz w:val="19"/>
                <w:szCs w:val="19"/>
                <w:color w:val="auto"/>
              </w:rPr>
              <w:t>Other</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120" w:type="dxa"/>
            <w:vAlign w:val="bottom"/>
          </w:tcPr>
          <w:p>
            <w:pPr>
              <w:spacing w:after="0"/>
              <w:rPr>
                <w:sz w:val="24"/>
                <w:szCs w:val="24"/>
                <w:color w:val="auto"/>
              </w:rPr>
            </w:pP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(0.62)</w:t>
            </w:r>
          </w:p>
        </w:tc>
      </w:tr>
      <w:tr>
        <w:trPr>
          <w:trHeight w:val="289"/>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Uncertain tax positions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120" w:type="dxa"/>
            <w:vAlign w:val="bottom"/>
            <w:tcBorders>
              <w:right w:val="single" w:sz="8" w:color="E6E6E6"/>
            </w:tcBorders>
          </w:tcPr>
          <w:p>
            <w:pPr>
              <w:spacing w:after="0"/>
              <w:rPr>
                <w:sz w:val="24"/>
                <w:szCs w:val="24"/>
                <w:color w:val="auto"/>
              </w:rPr>
            </w:pPr>
          </w:p>
        </w:tc>
        <w:tc>
          <w:tcPr>
            <w:tcW w:w="1260" w:type="dxa"/>
            <w:vAlign w:val="bottom"/>
            <w:shd w:val="clear" w:color="auto" w:fill="E6E6E6"/>
          </w:tcPr>
          <w:p>
            <w:pPr>
              <w:jc w:val="right"/>
              <w:ind w:right="85"/>
              <w:spacing w:after="0"/>
              <w:rPr>
                <w:sz w:val="20"/>
                <w:szCs w:val="20"/>
                <w:color w:val="auto"/>
              </w:rPr>
            </w:pPr>
            <w:r>
              <w:rPr>
                <w:rFonts w:ascii="Times New Roman" w:cs="Times New Roman" w:eastAsia="Times New Roman" w:hAnsi="Times New Roman"/>
                <w:sz w:val="19"/>
                <w:szCs w:val="19"/>
                <w:color w:val="auto"/>
              </w:rPr>
              <w:t>(0.96)</w:t>
            </w:r>
          </w:p>
        </w:tc>
      </w:tr>
      <w:tr>
        <w:trPr>
          <w:trHeight w:val="289"/>
        </w:trPr>
        <w:tc>
          <w:tcPr>
            <w:tcW w:w="726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19"/>
                <w:szCs w:val="19"/>
                <w:color w:val="auto"/>
              </w:rPr>
              <w:t>Other adjustments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9"/>
                <w:szCs w:val="19"/>
                <w:color w:val="auto"/>
              </w:rPr>
              <w:t>(0.17)</w:t>
            </w:r>
          </w:p>
        </w:tc>
      </w:tr>
      <w:tr>
        <w:trPr>
          <w:trHeight w:val="313"/>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Effective tax rate</w:t>
            </w:r>
          </w:p>
        </w:tc>
        <w:tc>
          <w:tcPr>
            <w:tcW w:w="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right w:val="single" w:sz="8" w:color="E6E6E6"/>
            </w:tcBorders>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(131)</w:t>
            </w:r>
          </w:p>
        </w:tc>
        <w:tc>
          <w:tcPr>
            <w:tcW w:w="1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1.74 %</w:t>
            </w:r>
          </w:p>
        </w:tc>
      </w:tr>
      <w:tr>
        <w:trPr>
          <w:trHeight w:val="20"/>
        </w:trPr>
        <w:tc>
          <w:tcPr>
            <w:tcW w:w="7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-3566160</wp:posOffset>
            </wp:positionV>
            <wp:extent cx="825500" cy="3542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
                      <a:extLst>
                        <a:ext uri="{28A0092B-C50C-407E-A947-70E740481C1C}"/>
                      </a:extLst>
                    </a:blip>
                    <a:srcRect/>
                    <a:stretch>
                      <a:fillRect/>
                    </a:stretch>
                  </pic:blipFill>
                  <pic:spPr bwMode="auto">
                    <a:xfrm>
                      <a:off x="0" y="0"/>
                      <a:ext cx="825500" cy="354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0" w:orient="portrait"/>
          <w:cols w:equalWidth="0" w:num="1">
            <w:col w:w="9920"/>
          </w:cols>
          <w:pgMar w:left="980" w:top="600" w:right="980" w:bottom="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State taxes in Rhode Island make up the majority of the tax effect in this category</w:t>
      </w:r>
    </w:p>
    <w:p>
      <w:pPr>
        <w:spacing w:after="0" w:line="314" w:lineRule="exact"/>
        <w:rPr>
          <w:sz w:val="20"/>
          <w:szCs w:val="20"/>
          <w:color w:val="auto"/>
        </w:rPr>
      </w:pPr>
    </w:p>
    <w:p>
      <w:pPr>
        <w:ind w:right="20"/>
        <w:spacing w:after="0" w:line="337" w:lineRule="auto"/>
        <w:rPr>
          <w:sz w:val="20"/>
          <w:szCs w:val="20"/>
          <w:color w:val="auto"/>
        </w:rPr>
      </w:pPr>
      <w:r>
        <w:rPr>
          <w:rFonts w:ascii="Times New Roman" w:cs="Times New Roman" w:eastAsia="Times New Roman" w:hAnsi="Times New Roman"/>
          <w:sz w:val="19"/>
          <w:szCs w:val="19"/>
          <w:color w:val="auto"/>
        </w:rPr>
        <w:t>A reconciliation of income tax computed using the United States Federal statutory income tax rate of 21% compared to that reflected in operations, prior to the requirements of ASU 2023-09, for the year ended December 31, 2024 consists of:</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26"/>
        </w:trPr>
        <w:tc>
          <w:tcPr>
            <w:tcW w:w="77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0"/>
        </w:trPr>
        <w:tc>
          <w:tcPr>
            <w:tcW w:w="772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Income tax benefit at Federal statutory income tax rate</w:t>
            </w:r>
          </w:p>
        </w:tc>
        <w:tc>
          <w:tcPr>
            <w:tcW w:w="2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(2,232)</w:t>
            </w:r>
          </w:p>
        </w:tc>
        <w:tc>
          <w:tcPr>
            <w:tcW w:w="0" w:type="dxa"/>
            <w:vAlign w:val="bottom"/>
          </w:tcPr>
          <w:p>
            <w:pPr>
              <w:spacing w:after="0" w:line="20" w:lineRule="exact"/>
              <w:rPr>
                <w:sz w:val="1"/>
                <w:szCs w:val="1"/>
                <w:color w:val="auto"/>
              </w:rPr>
            </w:pPr>
          </w:p>
        </w:tc>
      </w:tr>
      <w:tr>
        <w:trPr>
          <w:trHeight w:val="249"/>
        </w:trPr>
        <w:tc>
          <w:tcPr>
            <w:tcW w:w="7720" w:type="dxa"/>
            <w:vAlign w:val="bottom"/>
            <w:gridSpan w:val="2"/>
            <w:vMerge w:val="continue"/>
            <w:shd w:val="clear" w:color="auto" w:fill="E6E6E6"/>
          </w:tcPr>
          <w:p>
            <w:pPr>
              <w:spacing w:after="0"/>
              <w:rPr>
                <w:sz w:val="21"/>
                <w:szCs w:val="21"/>
                <w:color w:val="auto"/>
              </w:rPr>
            </w:pPr>
          </w:p>
        </w:tc>
        <w:tc>
          <w:tcPr>
            <w:tcW w:w="200" w:type="dxa"/>
            <w:vAlign w:val="bottom"/>
            <w:vMerge w:val="continue"/>
            <w:shd w:val="clear" w:color="auto" w:fill="E6E6E6"/>
          </w:tcPr>
          <w:p>
            <w:pPr>
              <w:spacing w:after="0"/>
              <w:rPr>
                <w:sz w:val="21"/>
                <w:szCs w:val="21"/>
                <w:color w:val="auto"/>
              </w:rPr>
            </w:pPr>
          </w:p>
        </w:tc>
        <w:tc>
          <w:tcPr>
            <w:tcW w:w="200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Increase (decrease) in income taxes resulting from:</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State income tax (expense) benefit, net of federal benefit</w:t>
            </w:r>
          </w:p>
        </w:tc>
        <w:tc>
          <w:tcPr>
            <w:tcW w:w="20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89"/>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State research and development, investment credits</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423</w:t>
            </w:r>
          </w:p>
        </w:tc>
        <w:tc>
          <w:tcPr>
            <w:tcW w:w="0" w:type="dxa"/>
            <w:vAlign w:val="bottom"/>
          </w:tcPr>
          <w:p>
            <w:pPr>
              <w:spacing w:after="0"/>
              <w:rPr>
                <w:sz w:val="1"/>
                <w:szCs w:val="1"/>
                <w:color w:val="auto"/>
              </w:rPr>
            </w:pPr>
          </w:p>
        </w:tc>
      </w:tr>
      <w:tr>
        <w:trPr>
          <w:trHeight w:val="290"/>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Non-deductible meals &amp; entertainment</w:t>
            </w:r>
          </w:p>
        </w:tc>
        <w:tc>
          <w:tcPr>
            <w:tcW w:w="20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289"/>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Non-deductible stock compensation expense</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479</w:t>
            </w:r>
          </w:p>
        </w:tc>
        <w:tc>
          <w:tcPr>
            <w:tcW w:w="0" w:type="dxa"/>
            <w:vAlign w:val="bottom"/>
          </w:tcPr>
          <w:p>
            <w:pPr>
              <w:spacing w:after="0"/>
              <w:rPr>
                <w:sz w:val="1"/>
                <w:szCs w:val="1"/>
                <w:color w:val="auto"/>
              </w:rPr>
            </w:pPr>
          </w:p>
        </w:tc>
      </w:tr>
      <w:tr>
        <w:trPr>
          <w:trHeight w:val="290"/>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Foreign exchange loss</w:t>
            </w:r>
          </w:p>
        </w:tc>
        <w:tc>
          <w:tcPr>
            <w:tcW w:w="200" w:type="dxa"/>
            <w:vAlign w:val="bottom"/>
            <w:shd w:val="clear" w:color="auto" w:fill="E6E6E6"/>
          </w:tcPr>
          <w:p>
            <w:pPr>
              <w:spacing w:after="0"/>
              <w:rPr>
                <w:sz w:val="24"/>
                <w:szCs w:val="24"/>
                <w:color w:val="auto"/>
              </w:rPr>
            </w:pPr>
          </w:p>
        </w:tc>
        <w:tc>
          <w:tcPr>
            <w:tcW w:w="2000" w:type="dxa"/>
            <w:vAlign w:val="bottom"/>
            <w:shd w:val="clear" w:color="auto" w:fill="E6E6E6"/>
          </w:tcPr>
          <w:p>
            <w:pPr>
              <w:jc w:val="right"/>
              <w:ind w:right="6"/>
              <w:spacing w:after="0"/>
              <w:rPr>
                <w:sz w:val="20"/>
                <w:szCs w:val="20"/>
                <w:color w:val="auto"/>
              </w:rPr>
            </w:pPr>
            <w:r>
              <w:rPr>
                <w:rFonts w:ascii="Times New Roman" w:cs="Times New Roman" w:eastAsia="Times New Roman" w:hAnsi="Times New Roman"/>
                <w:sz w:val="19"/>
                <w:szCs w:val="19"/>
                <w:color w:val="auto"/>
              </w:rPr>
              <w:t>110</w:t>
            </w:r>
          </w:p>
        </w:tc>
        <w:tc>
          <w:tcPr>
            <w:tcW w:w="0" w:type="dxa"/>
            <w:vAlign w:val="bottom"/>
          </w:tcPr>
          <w:p>
            <w:pPr>
              <w:spacing w:after="0"/>
              <w:rPr>
                <w:sz w:val="1"/>
                <w:szCs w:val="1"/>
                <w:color w:val="auto"/>
              </w:rPr>
            </w:pPr>
          </w:p>
        </w:tc>
      </w:tr>
      <w:tr>
        <w:trPr>
          <w:trHeight w:val="289"/>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Foreign tax rate differential</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290"/>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Uncertain tax positions</w:t>
            </w:r>
          </w:p>
        </w:tc>
        <w:tc>
          <w:tcPr>
            <w:tcW w:w="20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0" w:type="dxa"/>
            <w:vAlign w:val="bottom"/>
          </w:tcPr>
          <w:p>
            <w:pPr>
              <w:spacing w:after="0"/>
              <w:rPr>
                <w:sz w:val="1"/>
                <w:szCs w:val="1"/>
                <w:color w:val="auto"/>
              </w:rPr>
            </w:pPr>
          </w:p>
        </w:tc>
      </w:tr>
      <w:tr>
        <w:trPr>
          <w:trHeight w:val="290"/>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Provision to tax return adjustments</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0" w:type="dxa"/>
            <w:vAlign w:val="bottom"/>
          </w:tcPr>
          <w:p>
            <w:pPr>
              <w:spacing w:after="0"/>
              <w:rPr>
                <w:sz w:val="1"/>
                <w:szCs w:val="1"/>
                <w:color w:val="auto"/>
              </w:rPr>
            </w:pPr>
          </w:p>
        </w:tc>
      </w:tr>
      <w:tr>
        <w:trPr>
          <w:trHeight w:val="290"/>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200" w:type="dxa"/>
            <w:vAlign w:val="bottom"/>
            <w:shd w:val="clear" w:color="auto" w:fill="E6E6E6"/>
          </w:tcPr>
          <w:p>
            <w:pPr>
              <w:spacing w:after="0"/>
              <w:rPr>
                <w:sz w:val="24"/>
                <w:szCs w:val="24"/>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1,344</w:t>
            </w:r>
          </w:p>
        </w:tc>
        <w:tc>
          <w:tcPr>
            <w:tcW w:w="0" w:type="dxa"/>
            <w:vAlign w:val="bottom"/>
          </w:tcPr>
          <w:p>
            <w:pPr>
              <w:spacing w:after="0"/>
              <w:rPr>
                <w:sz w:val="1"/>
                <w:szCs w:val="1"/>
                <w:color w:val="auto"/>
              </w:rPr>
            </w:pPr>
          </w:p>
        </w:tc>
      </w:tr>
      <w:tr>
        <w:trPr>
          <w:trHeight w:val="290"/>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Non-deductible foreign transaction taxes</w:t>
            </w:r>
          </w:p>
        </w:tc>
        <w:tc>
          <w:tcPr>
            <w:tcW w:w="200" w:type="dxa"/>
            <w:vAlign w:val="bottom"/>
          </w:tcPr>
          <w:p>
            <w:pPr>
              <w:spacing w:after="0"/>
              <w:rPr>
                <w:sz w:val="24"/>
                <w:szCs w:val="24"/>
                <w:color w:val="auto"/>
              </w:rPr>
            </w:pPr>
          </w:p>
        </w:tc>
        <w:tc>
          <w:tcPr>
            <w:tcW w:w="200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110</w:t>
            </w:r>
          </w:p>
        </w:tc>
        <w:tc>
          <w:tcPr>
            <w:tcW w:w="0" w:type="dxa"/>
            <w:vAlign w:val="bottom"/>
          </w:tcPr>
          <w:p>
            <w:pPr>
              <w:spacing w:after="0"/>
              <w:rPr>
                <w:sz w:val="1"/>
                <w:szCs w:val="1"/>
                <w:color w:val="auto"/>
              </w:rPr>
            </w:pPr>
          </w:p>
        </w:tc>
      </w:tr>
      <w:tr>
        <w:trPr>
          <w:trHeight w:val="289"/>
        </w:trPr>
        <w:tc>
          <w:tcPr>
            <w:tcW w:w="77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Other</w:t>
            </w:r>
          </w:p>
        </w:tc>
        <w:tc>
          <w:tcPr>
            <w:tcW w:w="200" w:type="dxa"/>
            <w:vAlign w:val="bottom"/>
            <w:tcBorders>
              <w:bottom w:val="single" w:sz="8" w:color="auto"/>
            </w:tcBorders>
            <w:shd w:val="clear" w:color="auto" w:fill="E6E6E6"/>
          </w:tcPr>
          <w:p>
            <w:pPr>
              <w:spacing w:after="0"/>
              <w:rPr>
                <w:sz w:val="24"/>
                <w:szCs w:val="24"/>
                <w:color w:val="auto"/>
              </w:rPr>
            </w:pP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0" w:type="dxa"/>
            <w:vAlign w:val="bottom"/>
          </w:tcPr>
          <w:p>
            <w:pPr>
              <w:spacing w:after="0"/>
              <w:rPr>
                <w:sz w:val="1"/>
                <w:szCs w:val="1"/>
                <w:color w:val="auto"/>
              </w:rPr>
            </w:pPr>
          </w:p>
        </w:tc>
      </w:tr>
      <w:tr>
        <w:trPr>
          <w:trHeight w:val="314"/>
        </w:trPr>
        <w:tc>
          <w:tcPr>
            <w:tcW w:w="7720" w:type="dxa"/>
            <w:vAlign w:val="bottom"/>
            <w:gridSpan w:val="2"/>
          </w:tcPr>
          <w:p>
            <w:pPr>
              <w:ind w:left="660"/>
              <w:spacing w:after="0"/>
              <w:rPr>
                <w:sz w:val="20"/>
                <w:szCs w:val="20"/>
                <w:color w:val="auto"/>
              </w:rPr>
            </w:pPr>
            <w:r>
              <w:rPr>
                <w:rFonts w:ascii="Times New Roman" w:cs="Times New Roman" w:eastAsia="Times New Roman" w:hAnsi="Times New Roman"/>
                <w:sz w:val="19"/>
                <w:szCs w:val="19"/>
                <w:color w:val="auto"/>
              </w:rPr>
              <w:t>Income tax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-241935</wp:posOffset>
                </wp:positionV>
                <wp:extent cx="489013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013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0499pt" to="385.5pt,-19.04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4895850</wp:posOffset>
                </wp:positionH>
                <wp:positionV relativeFrom="paragraph">
                  <wp:posOffset>-236220</wp:posOffset>
                </wp:positionV>
                <wp:extent cx="1397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5pt,-18.5999pt" to="495.5pt,-18.5999pt" o:allowincell="f" strokecolor="#FFFFFF" strokeweight="0.059pt"/>
            </w:pict>
          </mc:Fallback>
        </mc:AlternateConten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Loss before income tax (benefit) expense determined by tax jurisdiction,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jc w:val="right"/>
              <w:ind w:right="348"/>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27"/>
        </w:trPr>
        <w:tc>
          <w:tcPr>
            <w:tcW w:w="73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0"/>
        </w:trPr>
        <w:tc>
          <w:tcPr>
            <w:tcW w:w="732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United States</w:t>
            </w:r>
          </w:p>
        </w:tc>
        <w:tc>
          <w:tcPr>
            <w:tcW w:w="300" w:type="dxa"/>
            <w:vAlign w:val="bottom"/>
            <w:vMerge w:val="restart"/>
            <w:shd w:val="clear" w:color="auto" w:fill="E6E6E6"/>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(6,837)</w:t>
            </w:r>
          </w:p>
        </w:tc>
        <w:tc>
          <w:tcPr>
            <w:tcW w:w="400" w:type="dxa"/>
            <w:vAlign w:val="bottom"/>
            <w:gridSpan w:val="3"/>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(10,392)</w:t>
            </w: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E6E6E6"/>
          </w:tcPr>
          <w:p>
            <w:pPr>
              <w:spacing w:after="0"/>
              <w:rPr>
                <w:sz w:val="21"/>
                <w:szCs w:val="21"/>
                <w:color w:val="auto"/>
              </w:rPr>
            </w:pPr>
          </w:p>
        </w:tc>
        <w:tc>
          <w:tcPr>
            <w:tcW w:w="300" w:type="dxa"/>
            <w:vAlign w:val="bottom"/>
            <w:vMerge w:val="continue"/>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400" w:type="dxa"/>
            <w:vAlign w:val="bottom"/>
            <w:gridSpan w:val="3"/>
            <w:vMerge w:val="continue"/>
            <w:shd w:val="clear" w:color="auto" w:fill="E6E6E6"/>
          </w:tcPr>
          <w:p>
            <w:pPr>
              <w:spacing w:after="0"/>
              <w:rPr>
                <w:sz w:val="21"/>
                <w:szCs w:val="21"/>
                <w:color w:val="auto"/>
              </w:rPr>
            </w:pPr>
          </w:p>
        </w:tc>
        <w:tc>
          <w:tcPr>
            <w:tcW w:w="9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32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19"/>
                <w:szCs w:val="19"/>
                <w:color w:val="auto"/>
              </w:rPr>
              <w:t>Foreign</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(677)</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(235)</w:t>
            </w:r>
          </w:p>
        </w:tc>
        <w:tc>
          <w:tcPr>
            <w:tcW w:w="0" w:type="dxa"/>
            <w:vAlign w:val="bottom"/>
          </w:tcPr>
          <w:p>
            <w:pPr>
              <w:spacing w:after="0"/>
              <w:rPr>
                <w:sz w:val="1"/>
                <w:szCs w:val="1"/>
                <w:color w:val="auto"/>
              </w:rPr>
            </w:pPr>
          </w:p>
        </w:tc>
      </w:tr>
      <w:tr>
        <w:trPr>
          <w:trHeight w:val="20"/>
        </w:trPr>
        <w:tc>
          <w:tcPr>
            <w:tcW w:w="732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Total</w:t>
            </w:r>
          </w:p>
        </w:tc>
        <w:tc>
          <w:tcPr>
            <w:tcW w:w="300" w:type="dxa"/>
            <w:vAlign w:val="bottom"/>
            <w:vMerge w:val="restart"/>
            <w:shd w:val="clear" w:color="auto" w:fill="E6E6E6"/>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(7,514)</w:t>
            </w:r>
          </w:p>
        </w:tc>
        <w:tc>
          <w:tcPr>
            <w:tcW w:w="400" w:type="dxa"/>
            <w:vAlign w:val="bottom"/>
            <w:gridSpan w:val="3"/>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(10,627)</w:t>
            </w:r>
          </w:p>
        </w:tc>
        <w:tc>
          <w:tcPr>
            <w:tcW w:w="0" w:type="dxa"/>
            <w:vAlign w:val="bottom"/>
          </w:tcPr>
          <w:p>
            <w:pPr>
              <w:spacing w:after="0" w:line="20" w:lineRule="exact"/>
              <w:rPr>
                <w:sz w:val="1"/>
                <w:szCs w:val="1"/>
                <w:color w:val="auto"/>
              </w:rPr>
            </w:pPr>
          </w:p>
        </w:tc>
      </w:tr>
      <w:tr>
        <w:trPr>
          <w:trHeight w:val="251"/>
        </w:trPr>
        <w:tc>
          <w:tcPr>
            <w:tcW w:w="7320" w:type="dxa"/>
            <w:vAlign w:val="bottom"/>
            <w:gridSpan w:val="2"/>
            <w:vMerge w:val="continue"/>
            <w:shd w:val="clear" w:color="auto" w:fill="E6E6E6"/>
          </w:tcPr>
          <w:p>
            <w:pPr>
              <w:spacing w:after="0"/>
              <w:rPr>
                <w:sz w:val="21"/>
                <w:szCs w:val="21"/>
                <w:color w:val="auto"/>
              </w:rPr>
            </w:pPr>
          </w:p>
        </w:tc>
        <w:tc>
          <w:tcPr>
            <w:tcW w:w="300" w:type="dxa"/>
            <w:vAlign w:val="bottom"/>
            <w:vMerge w:val="continue"/>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400" w:type="dxa"/>
            <w:vAlign w:val="bottom"/>
            <w:gridSpan w:val="3"/>
            <w:vMerge w:val="continue"/>
            <w:shd w:val="clear" w:color="auto" w:fill="E6E6E6"/>
          </w:tcPr>
          <w:p>
            <w:pPr>
              <w:spacing w:after="0"/>
              <w:rPr>
                <w:sz w:val="21"/>
                <w:szCs w:val="21"/>
                <w:color w:val="auto"/>
              </w:rPr>
            </w:pPr>
          </w:p>
        </w:tc>
        <w:tc>
          <w:tcPr>
            <w:tcW w:w="9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0" w:orient="portrait"/>
          <w:cols w:equalWidth="0" w:num="1">
            <w:col w:w="9920"/>
          </w:cols>
          <w:pgMar w:left="980" w:top="600" w:right="980" w:bottom="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Deferred tax assets and liabilities for the periods presented consisted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30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70"/>
        </w:trPr>
        <w:tc>
          <w:tcPr>
            <w:tcW w:w="732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Deferred tax assets:</w:t>
            </w:r>
          </w:p>
        </w:tc>
        <w:tc>
          <w:tcPr>
            <w:tcW w:w="320" w:type="dxa"/>
            <w:vAlign w:val="bottom"/>
            <w:shd w:val="clear" w:color="auto" w:fill="E6E6E6"/>
          </w:tcPr>
          <w:p>
            <w:pPr>
              <w:spacing w:after="0"/>
              <w:rPr>
                <w:sz w:val="23"/>
                <w:szCs w:val="23"/>
                <w:color w:val="auto"/>
              </w:rPr>
            </w:pPr>
          </w:p>
        </w:tc>
        <w:tc>
          <w:tcPr>
            <w:tcW w:w="9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Accounts receivable, due to allowance for doubtful accounts</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20" w:type="dxa"/>
            <w:vAlign w:val="bottom"/>
          </w:tcPr>
          <w:p>
            <w:pPr>
              <w:spacing w:after="0"/>
              <w:rPr>
                <w:sz w:val="24"/>
                <w:szCs w:val="24"/>
                <w:color w:val="auto"/>
              </w:rPr>
            </w:pPr>
          </w:p>
        </w:tc>
        <w:tc>
          <w:tcPr>
            <w:tcW w:w="500" w:type="dxa"/>
            <w:vAlign w:val="bottom"/>
            <w:gridSpan w:val="4"/>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112</w:t>
            </w:r>
          </w:p>
        </w:tc>
        <w:tc>
          <w:tcPr>
            <w:tcW w:w="0" w:type="dxa"/>
            <w:vAlign w:val="bottom"/>
          </w:tcPr>
          <w:p>
            <w:pPr>
              <w:spacing w:after="0"/>
              <w:rPr>
                <w:sz w:val="1"/>
                <w:szCs w:val="1"/>
                <w:color w:val="auto"/>
              </w:rPr>
            </w:pPr>
          </w:p>
        </w:tc>
      </w:tr>
      <w:tr>
        <w:trPr>
          <w:trHeight w:val="289"/>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Inventories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1,781</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2,188</w:t>
            </w:r>
          </w:p>
        </w:tc>
        <w:tc>
          <w:tcPr>
            <w:tcW w:w="0" w:type="dxa"/>
            <w:vAlign w:val="bottom"/>
          </w:tcPr>
          <w:p>
            <w:pPr>
              <w:spacing w:after="0"/>
              <w:rPr>
                <w:sz w:val="1"/>
                <w:szCs w:val="1"/>
                <w:color w:val="auto"/>
              </w:rPr>
            </w:pPr>
          </w:p>
        </w:tc>
      </w:tr>
      <w:tr>
        <w:trPr>
          <w:trHeight w:val="290"/>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Operating loss carryforwards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9,078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5,772</w:t>
            </w:r>
          </w:p>
        </w:tc>
        <w:tc>
          <w:tcPr>
            <w:tcW w:w="0" w:type="dxa"/>
            <w:vAlign w:val="bottom"/>
          </w:tcPr>
          <w:p>
            <w:pPr>
              <w:spacing w:after="0"/>
              <w:rPr>
                <w:sz w:val="1"/>
                <w:szCs w:val="1"/>
                <w:color w:val="auto"/>
              </w:rPr>
            </w:pPr>
          </w:p>
        </w:tc>
      </w:tr>
      <w:tr>
        <w:trPr>
          <w:trHeight w:val="289"/>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388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90"/>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Property and equipment, due to difference in depreciation</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0" w:type="dxa"/>
            <w:vAlign w:val="bottom"/>
          </w:tcPr>
          <w:p>
            <w:pPr>
              <w:spacing w:after="0"/>
              <w:rPr>
                <w:sz w:val="1"/>
                <w:szCs w:val="1"/>
                <w:color w:val="auto"/>
              </w:rPr>
            </w:pPr>
          </w:p>
        </w:tc>
      </w:tr>
      <w:tr>
        <w:trPr>
          <w:trHeight w:val="289"/>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Research and development tax credit carryforwards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5,852</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5,852</w:t>
            </w:r>
          </w:p>
        </w:tc>
        <w:tc>
          <w:tcPr>
            <w:tcW w:w="0" w:type="dxa"/>
            <w:vAlign w:val="bottom"/>
          </w:tcPr>
          <w:p>
            <w:pPr>
              <w:spacing w:after="0"/>
              <w:rPr>
                <w:sz w:val="1"/>
                <w:szCs w:val="1"/>
                <w:color w:val="auto"/>
              </w:rPr>
            </w:pPr>
          </w:p>
        </w:tc>
      </w:tr>
      <w:tr>
        <w:trPr>
          <w:trHeight w:val="289"/>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Foreign tax credit carryforwards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2,345</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State tax credit carryforwards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2,456</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2,962</w:t>
            </w:r>
          </w:p>
        </w:tc>
        <w:tc>
          <w:tcPr>
            <w:tcW w:w="0" w:type="dxa"/>
            <w:vAlign w:val="bottom"/>
          </w:tcPr>
          <w:p>
            <w:pPr>
              <w:spacing w:after="0"/>
              <w:rPr>
                <w:sz w:val="1"/>
                <w:szCs w:val="1"/>
                <w:color w:val="auto"/>
              </w:rPr>
            </w:pPr>
          </w:p>
        </w:tc>
      </w:tr>
      <w:tr>
        <w:trPr>
          <w:trHeight w:val="289"/>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5,570</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Warranty reserve</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130</w:t>
            </w:r>
          </w:p>
        </w:tc>
        <w:tc>
          <w:tcPr>
            <w:tcW w:w="0" w:type="dxa"/>
            <w:vAlign w:val="bottom"/>
          </w:tcPr>
          <w:p>
            <w:pPr>
              <w:spacing w:after="0"/>
              <w:rPr>
                <w:sz w:val="1"/>
                <w:szCs w:val="1"/>
                <w:color w:val="auto"/>
              </w:rPr>
            </w:pPr>
          </w:p>
        </w:tc>
      </w:tr>
      <w:tr>
        <w:trPr>
          <w:trHeight w:val="290"/>
        </w:trPr>
        <w:tc>
          <w:tcPr>
            <w:tcW w:w="732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Accrued expenses</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333</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Intangible assets</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210</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14"/>
        </w:trPr>
        <w:tc>
          <w:tcPr>
            <w:tcW w:w="732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Lease liability</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908</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w:t>
            </w:r>
          </w:p>
        </w:tc>
        <w:tc>
          <w:tcPr>
            <w:tcW w:w="0" w:type="dxa"/>
            <w:vAlign w:val="bottom"/>
          </w:tcPr>
          <w:p>
            <w:pPr>
              <w:spacing w:after="0"/>
              <w:rPr>
                <w:sz w:val="1"/>
                <w:szCs w:val="1"/>
                <w:color w:val="auto"/>
              </w:rPr>
            </w:pPr>
          </w:p>
        </w:tc>
      </w:tr>
      <w:tr>
        <w:trPr>
          <w:trHeight w:val="250"/>
        </w:trPr>
        <w:tc>
          <w:tcPr>
            <w:tcW w:w="732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Gross deferred tax assets</w:t>
            </w:r>
          </w:p>
        </w:tc>
        <w:tc>
          <w:tcPr>
            <w:tcW w:w="320" w:type="dxa"/>
            <w:vAlign w:val="bottom"/>
            <w:tcBorders>
              <w:top w:val="single" w:sz="8" w:color="E6E6E6"/>
            </w:tcBorders>
            <w:shd w:val="clear" w:color="auto" w:fill="E6E6E6"/>
          </w:tcPr>
          <w:p>
            <w:pPr>
              <w:spacing w:after="0"/>
              <w:rPr>
                <w:sz w:val="21"/>
                <w:szCs w:val="21"/>
                <w:color w:val="auto"/>
              </w:rPr>
            </w:pPr>
          </w:p>
        </w:tc>
        <w:tc>
          <w:tcPr>
            <w:tcW w:w="9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27,613</w:t>
            </w:r>
          </w:p>
        </w:tc>
        <w:tc>
          <w:tcPr>
            <w:tcW w:w="2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E6E6E6"/>
            </w:tcBorders>
            <w:shd w:val="clear" w:color="auto" w:fill="E6E6E6"/>
          </w:tcPr>
          <w:p>
            <w:pPr>
              <w:spacing w:after="0"/>
              <w:rPr>
                <w:sz w:val="21"/>
                <w:szCs w:val="21"/>
                <w:color w:val="auto"/>
              </w:rPr>
            </w:pPr>
          </w:p>
        </w:tc>
        <w:tc>
          <w:tcPr>
            <w:tcW w:w="8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26,018</w:t>
            </w:r>
          </w:p>
        </w:tc>
        <w:tc>
          <w:tcPr>
            <w:tcW w:w="0" w:type="dxa"/>
            <w:vAlign w:val="bottom"/>
          </w:tcPr>
          <w:p>
            <w:pPr>
              <w:spacing w:after="0"/>
              <w:rPr>
                <w:sz w:val="1"/>
                <w:szCs w:val="1"/>
                <w:color w:val="auto"/>
              </w:rPr>
            </w:pPr>
          </w:p>
        </w:tc>
      </w:tr>
      <w:tr>
        <w:trPr>
          <w:trHeight w:val="315"/>
        </w:trPr>
        <w:tc>
          <w:tcPr>
            <w:tcW w:w="7320" w:type="dxa"/>
            <w:vAlign w:val="bottom"/>
            <w:tcBorders>
              <w:bottom w:val="single" w:sz="8" w:color="E6E6E6"/>
            </w:tcBorders>
            <w:gridSpan w:val="2"/>
          </w:tcPr>
          <w:p>
            <w:pPr>
              <w:ind w:left="760"/>
              <w:spacing w:after="0"/>
              <w:rPr>
                <w:sz w:val="20"/>
                <w:szCs w:val="20"/>
                <w:color w:val="auto"/>
              </w:rPr>
            </w:pPr>
            <w:r>
              <w:rPr>
                <w:rFonts w:ascii="Times New Roman" w:cs="Times New Roman" w:eastAsia="Times New Roman" w:hAnsi="Times New Roman"/>
                <w:sz w:val="19"/>
                <w:szCs w:val="19"/>
                <w:color w:val="auto"/>
              </w:rPr>
              <w:t>Less valuation allowance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(23,890)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(23,179)</w:t>
            </w:r>
          </w:p>
        </w:tc>
        <w:tc>
          <w:tcPr>
            <w:tcW w:w="0" w:type="dxa"/>
            <w:vAlign w:val="bottom"/>
          </w:tcPr>
          <w:p>
            <w:pPr>
              <w:spacing w:after="0"/>
              <w:rPr>
                <w:sz w:val="1"/>
                <w:szCs w:val="1"/>
                <w:color w:val="auto"/>
              </w:rPr>
            </w:pPr>
          </w:p>
        </w:tc>
      </w:tr>
      <w:tr>
        <w:trPr>
          <w:trHeight w:val="250"/>
        </w:trPr>
        <w:tc>
          <w:tcPr>
            <w:tcW w:w="732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320" w:type="dxa"/>
            <w:vAlign w:val="bottom"/>
            <w:tcBorders>
              <w:top w:val="single" w:sz="8" w:color="E6E6E6"/>
              <w:bottom w:val="single" w:sz="8" w:color="auto"/>
            </w:tcBorders>
            <w:shd w:val="clear" w:color="auto" w:fill="E6E6E6"/>
          </w:tcPr>
          <w:p>
            <w:pPr>
              <w:spacing w:after="0"/>
              <w:rPr>
                <w:sz w:val="21"/>
                <w:szCs w:val="21"/>
                <w:color w:val="auto"/>
              </w:rPr>
            </w:pP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3,723</w:t>
            </w:r>
          </w:p>
        </w:tc>
        <w:tc>
          <w:tcPr>
            <w:tcW w:w="20" w:type="dxa"/>
            <w:vAlign w:val="bottom"/>
            <w:tcBorders>
              <w:top w:val="single" w:sz="8" w:color="E6E6E6"/>
              <w:bottom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E6E6E6"/>
              <w:bottom w:val="single" w:sz="8" w:color="auto"/>
            </w:tcBorders>
            <w:shd w:val="clear" w:color="auto" w:fill="E6E6E6"/>
          </w:tcPr>
          <w:p>
            <w:pPr>
              <w:spacing w:after="0"/>
              <w:rPr>
                <w:sz w:val="21"/>
                <w:szCs w:val="21"/>
                <w:color w:val="auto"/>
              </w:rPr>
            </w:pPr>
          </w:p>
        </w:tc>
        <w:tc>
          <w:tcPr>
            <w:tcW w:w="8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2,839</w:t>
            </w:r>
          </w:p>
        </w:tc>
        <w:tc>
          <w:tcPr>
            <w:tcW w:w="0" w:type="dxa"/>
            <w:vAlign w:val="bottom"/>
          </w:tcPr>
          <w:p>
            <w:pPr>
              <w:spacing w:after="0"/>
              <w:rPr>
                <w:sz w:val="1"/>
                <w:szCs w:val="1"/>
                <w:color w:val="auto"/>
              </w:rPr>
            </w:pPr>
          </w:p>
        </w:tc>
      </w:tr>
      <w:tr>
        <w:trPr>
          <w:trHeight w:val="270"/>
        </w:trPr>
        <w:tc>
          <w:tcPr>
            <w:tcW w:w="7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 tax liabilities: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732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Property and equipment, due to differences in depreciation</w:t>
            </w:r>
          </w:p>
        </w:tc>
        <w:tc>
          <w:tcPr>
            <w:tcW w:w="320" w:type="dxa"/>
            <w:vAlign w:val="bottom"/>
            <w:shd w:val="clear" w:color="auto" w:fill="E6E6E6"/>
          </w:tcPr>
          <w:p>
            <w:pPr>
              <w:spacing w:after="0"/>
              <w:rPr>
                <w:sz w:val="24"/>
                <w:szCs w:val="24"/>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(2,218)</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shd w:val="clear" w:color="auto" w:fill="E6E6E6"/>
          </w:tcPr>
          <w:p>
            <w:pPr>
              <w:spacing w:after="0"/>
              <w:rPr>
                <w:sz w:val="24"/>
                <w:szCs w:val="24"/>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(2,430)</w:t>
            </w:r>
          </w:p>
        </w:tc>
        <w:tc>
          <w:tcPr>
            <w:tcW w:w="0" w:type="dxa"/>
            <w:vAlign w:val="bottom"/>
          </w:tcPr>
          <w:p>
            <w:pPr>
              <w:spacing w:after="0"/>
              <w:rPr>
                <w:sz w:val="1"/>
                <w:szCs w:val="1"/>
                <w:color w:val="auto"/>
              </w:rPr>
            </w:pPr>
          </w:p>
        </w:tc>
      </w:tr>
      <w:tr>
        <w:trPr>
          <w:trHeight w:val="315"/>
        </w:trPr>
        <w:tc>
          <w:tcPr>
            <w:tcW w:w="732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Right of use asset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(908)</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(267)</w:t>
            </w:r>
          </w:p>
        </w:tc>
        <w:tc>
          <w:tcPr>
            <w:tcW w:w="0" w:type="dxa"/>
            <w:vAlign w:val="bottom"/>
          </w:tcPr>
          <w:p>
            <w:pPr>
              <w:spacing w:after="0"/>
              <w:rPr>
                <w:sz w:val="1"/>
                <w:szCs w:val="1"/>
                <w:color w:val="auto"/>
              </w:rPr>
            </w:pPr>
          </w:p>
        </w:tc>
      </w:tr>
      <w:tr>
        <w:trPr>
          <w:trHeight w:val="250"/>
        </w:trPr>
        <w:tc>
          <w:tcPr>
            <w:tcW w:w="7320" w:type="dxa"/>
            <w:vAlign w:val="bottom"/>
            <w:tcBorders>
              <w:top w:val="single" w:sz="8" w:color="E6E6E6"/>
            </w:tcBorders>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320" w:type="dxa"/>
            <w:vAlign w:val="bottom"/>
            <w:tcBorders>
              <w:top w:val="single" w:sz="8" w:color="E6E6E6"/>
              <w:bottom w:val="single" w:sz="8" w:color="auto"/>
            </w:tcBorders>
            <w:shd w:val="clear" w:color="auto" w:fill="E6E6E6"/>
          </w:tcPr>
          <w:p>
            <w:pPr>
              <w:spacing w:after="0"/>
              <w:rPr>
                <w:sz w:val="21"/>
                <w:szCs w:val="21"/>
                <w:color w:val="auto"/>
              </w:rPr>
            </w:pPr>
          </w:p>
        </w:tc>
        <w:tc>
          <w:tcPr>
            <w:tcW w:w="94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(3,126)</w:t>
            </w:r>
          </w:p>
        </w:tc>
        <w:tc>
          <w:tcPr>
            <w:tcW w:w="20" w:type="dxa"/>
            <w:vAlign w:val="bottom"/>
            <w:tcBorders>
              <w:top w:val="single" w:sz="8" w:color="E6E6E6"/>
              <w:bottom w:val="single" w:sz="8" w:color="auto"/>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20" w:type="dxa"/>
            <w:vAlign w:val="bottom"/>
            <w:tcBorders>
              <w:top w:val="single" w:sz="8" w:color="E6E6E6"/>
              <w:bottom w:val="single" w:sz="8" w:color="auto"/>
            </w:tcBorders>
            <w:shd w:val="clear" w:color="auto" w:fill="E6E6E6"/>
          </w:tcPr>
          <w:p>
            <w:pPr>
              <w:spacing w:after="0"/>
              <w:rPr>
                <w:sz w:val="21"/>
                <w:szCs w:val="21"/>
                <w:color w:val="auto"/>
              </w:rPr>
            </w:pPr>
          </w:p>
        </w:tc>
        <w:tc>
          <w:tcPr>
            <w:tcW w:w="8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(2,697)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9"/>
                <w:szCs w:val="19"/>
                <w:color w:val="auto"/>
              </w:rPr>
              <w:t>Net deferred tax asset</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597</w:t>
            </w:r>
          </w:p>
        </w:tc>
        <w:tc>
          <w:tcPr>
            <w:tcW w:w="20" w:type="dxa"/>
            <w:vAlign w:val="bottom"/>
          </w:tcPr>
          <w:p>
            <w:pPr>
              <w:spacing w:after="0"/>
              <w:rPr>
                <w:sz w:val="21"/>
                <w:szCs w:val="21"/>
                <w:color w:val="auto"/>
              </w:rPr>
            </w:pPr>
          </w:p>
        </w:tc>
        <w:tc>
          <w:tcPr>
            <w:tcW w:w="500" w:type="dxa"/>
            <w:vAlign w:val="bottom"/>
            <w:gridSpan w:val="4"/>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0" w:type="dxa"/>
            <w:vAlign w:val="bottom"/>
          </w:tcPr>
          <w:p>
            <w:pPr>
              <w:spacing w:after="0"/>
              <w:rPr>
                <w:sz w:val="1"/>
                <w:szCs w:val="1"/>
                <w:color w:val="auto"/>
              </w:rPr>
            </w:pPr>
          </w:p>
        </w:tc>
      </w:tr>
      <w:tr>
        <w:trPr>
          <w:trHeight w:val="290"/>
        </w:trPr>
        <w:tc>
          <w:tcPr>
            <w:tcW w:w="7320" w:type="dxa"/>
            <w:vAlign w:val="bottom"/>
            <w:gridSpan w:val="2"/>
            <w:shd w:val="clear" w:color="auto" w:fill="E6E6E6"/>
          </w:tcPr>
          <w:p>
            <w:pPr>
              <w:ind w:left="760"/>
              <w:spacing w:after="0"/>
              <w:rPr>
                <w:sz w:val="20"/>
                <w:szCs w:val="20"/>
                <w:color w:val="auto"/>
              </w:rPr>
            </w:pPr>
            <w:r>
              <w:rPr>
                <w:rFonts w:ascii="Times New Roman" w:cs="Times New Roman" w:eastAsia="Times New Roman" w:hAnsi="Times New Roman"/>
                <w:sz w:val="19"/>
                <w:szCs w:val="19"/>
                <w:color w:val="auto"/>
              </w:rPr>
              <w:t>Deferred income tax asset</w:t>
            </w:r>
          </w:p>
        </w:tc>
        <w:tc>
          <w:tcPr>
            <w:tcW w:w="320" w:type="dxa"/>
            <w:vAlign w:val="bottom"/>
            <w:tcBorders>
              <w:bottom w:val="single" w:sz="8" w:color="auto"/>
            </w:tcBorders>
            <w:shd w:val="clear" w:color="auto" w:fill="E6E6E6"/>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602</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ind w:right="20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9"/>
                <w:szCs w:val="19"/>
                <w:color w:val="auto"/>
              </w:rPr>
              <w:t>Deferred income tax liability</w:t>
            </w: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20" w:type="dxa"/>
            <w:vAlign w:val="bottom"/>
            <w:gridSpan w:val="2"/>
            <w:vMerge w:val="continue"/>
          </w:tcPr>
          <w:p>
            <w:pPr>
              <w:spacing w:after="0"/>
              <w:rPr>
                <w:sz w:val="20"/>
                <w:szCs w:val="20"/>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-581660</wp:posOffset>
                </wp:positionV>
                <wp:extent cx="464248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248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5.7999pt" to="366pt,-45.7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4648200</wp:posOffset>
                </wp:positionH>
                <wp:positionV relativeFrom="paragraph">
                  <wp:posOffset>-575945</wp:posOffset>
                </wp:positionV>
                <wp:extent cx="79883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883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pt,-45.3499pt" to="428.9pt,-45.3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5493385</wp:posOffset>
                </wp:positionH>
                <wp:positionV relativeFrom="paragraph">
                  <wp:posOffset>-575945</wp:posOffset>
                </wp:positionV>
                <wp:extent cx="79946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55pt,-45.3499pt" to="495.5pt,-45.3499pt" o:allowincell="f" strokecolor="#FFFFFF" strokeweight="0.058pt"/>
            </w:pict>
          </mc:Fallback>
        </mc:AlternateContent>
      </w:r>
    </w:p>
    <w:p>
      <w:pPr>
        <w:spacing w:after="0" w:line="226" w:lineRule="exact"/>
        <w:rPr>
          <w:sz w:val="20"/>
          <w:szCs w:val="20"/>
          <w:color w:val="auto"/>
        </w:rPr>
      </w:pPr>
    </w:p>
    <w:p>
      <w:pPr>
        <w:jc w:val="both"/>
        <w:ind w:firstLine="521"/>
        <w:spacing w:after="0" w:line="286" w:lineRule="auto"/>
        <w:rPr>
          <w:sz w:val="20"/>
          <w:szCs w:val="20"/>
          <w:color w:val="auto"/>
        </w:rPr>
      </w:pPr>
      <w:r>
        <w:rPr>
          <w:rFonts w:ascii="Times New Roman" w:cs="Times New Roman" w:eastAsia="Times New Roman" w:hAnsi="Times New Roman"/>
          <w:sz w:val="19"/>
          <w:szCs w:val="19"/>
          <w:color w:val="auto"/>
        </w:rPr>
        <w:t>As of December 31, 2025 the Company has federal and state tax loss carryforwards of approximately $39,151 and $3,560, respectively. The federal loss carryforward has no expiration date. The state losses expire through the year 2045. As of December 31, 2025, the Company had federal research and development tax credit carryforwards in the amount of $5,843 and other general business credits of $9 that expire in years 2029 through 2043. As of December 31, 2025, the Company had foreign tax credit carryforwards in the amount of $2,345 that expire in years 2026 through 2027. As of December 31, 2025, the Company had state research and development tax credit carryforwards in the amount of $3,000 that expire in years 2026 through 2032. The Company also had other state tax credit carryforwards of $109 available to reduce future state tax expense that expire in years 2026 through 2032.</w:t>
      </w:r>
    </w:p>
    <w:p>
      <w:pPr>
        <w:spacing w:after="0" w:line="224"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Company’s ability to utilize these net operating loss carryforwards and tax credit carryforwards may be limited in the future if the Company experiences an ownership change pursuant to Internal Revenue Code Section 382. An ownership change occurs when the ownership percentages of 5% or greater stockholders change by more than 50% over a three-year period.</w:t>
      </w:r>
    </w:p>
    <w:p>
      <w:pPr>
        <w:spacing w:after="0" w:line="208"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In assessing the realizability of its net deferred tax assets, the Company considered whether it is more likely than not that some portion or all of the deferred tax assets will not be realized. As of December 31, 2025, the valuation increased by $710. The change was primarily the result of the current year loss and an increase in the inventory valuation reserve. As part of the Company’s analysis, the Company evaluated, among other factors, its recent history of generating tax losses and its near-term forecasts of future taxable income or losses.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880" w:h="15480" w:orient="portrait"/>
          <w:cols w:equalWidth="0" w:num="1">
            <w:col w:w="9920"/>
          </w:cols>
          <w:pgMar w:left="980" w:top="600" w:right="980" w:bottom="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As of December 31, 2025, unremitted foreign earnings, which were not significant, have been retained by the Company’s foreign subsidiaries for indefinite reinvestment. Upon repatriation of those earnings, in the form of dividends or otherwise, the Company could be subject to state tax and withholding taxes payable to various foreign countries.</w:t>
      </w:r>
    </w:p>
    <w:p>
      <w:pPr>
        <w:spacing w:after="0" w:line="208"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The Company establishes reserves for uncertain tax positions based on management’s assessment of exposure associated with tax deductions, permanent tax differences, and tax credits. The tax reserves are analyzed periodically and adjustments are made as events occur that warrant adjustment to the reserve. The Company’s policy is to recognize interest and penalties related to unrecognized tax benefits as a component of income tax expense.</w:t>
      </w:r>
    </w:p>
    <w:p>
      <w:pPr>
        <w:spacing w:after="0" w:line="214"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The aggregate changes in the total gross amount of unrecognized tax benefits, excluding penalties and interest,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tcBorders>
              <w:bottom w:val="single" w:sz="8" w:color="auto"/>
            </w:tcBorders>
            <w:gridSpan w:val="6"/>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50"/>
        </w:trPr>
        <w:tc>
          <w:tcPr>
            <w:tcW w:w="60" w:type="dxa"/>
            <w:vAlign w:val="bottom"/>
            <w:tcBorders>
              <w:bottom w:val="single" w:sz="8" w:color="E6E6E6"/>
            </w:tcBorders>
          </w:tcPr>
          <w:p>
            <w:pPr>
              <w:spacing w:after="0"/>
              <w:rPr>
                <w:sz w:val="21"/>
                <w:szCs w:val="21"/>
                <w:color w:val="auto"/>
              </w:rPr>
            </w:pPr>
          </w:p>
        </w:tc>
        <w:tc>
          <w:tcPr>
            <w:tcW w:w="7200" w:type="dxa"/>
            <w:vAlign w:val="bottom"/>
            <w:tcBorders>
              <w:bottom w:val="single" w:sz="8" w:color="E6E6E6"/>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49"/>
        </w:trPr>
        <w:tc>
          <w:tcPr>
            <w:tcW w:w="60" w:type="dxa"/>
            <w:vAlign w:val="bottom"/>
            <w:tcBorders>
              <w:top w:val="single" w:sz="8" w:color="E6E6E6"/>
            </w:tcBorders>
            <w:shd w:val="clear" w:color="auto" w:fill="E6E6E6"/>
          </w:tcPr>
          <w:p>
            <w:pPr>
              <w:spacing w:after="0"/>
              <w:rPr>
                <w:sz w:val="21"/>
                <w:szCs w:val="21"/>
                <w:color w:val="auto"/>
              </w:rPr>
            </w:pPr>
          </w:p>
        </w:tc>
        <w:tc>
          <w:tcPr>
            <w:tcW w:w="726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9"/>
                <w:szCs w:val="19"/>
                <w:color w:val="auto"/>
              </w:rPr>
              <w:t>Unrecognized tax benefits as of January 1</w:t>
            </w:r>
          </w:p>
        </w:tc>
        <w:tc>
          <w:tcPr>
            <w:tcW w:w="840" w:type="dxa"/>
            <w:vAlign w:val="bottom"/>
            <w:tcBorders>
              <w:top w:val="single" w:sz="8" w:color="E6E6E6"/>
            </w:tcBorders>
            <w:shd w:val="clear" w:color="auto" w:fill="E6E6E6"/>
          </w:tcPr>
          <w:p>
            <w:pPr>
              <w:jc w:val="right"/>
              <w:ind w:right="613"/>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871</w:t>
            </w:r>
          </w:p>
        </w:tc>
        <w:tc>
          <w:tcPr>
            <w:tcW w:w="6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tcBorders>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1,044</w:t>
            </w:r>
          </w:p>
        </w:tc>
        <w:tc>
          <w:tcPr>
            <w:tcW w:w="0" w:type="dxa"/>
            <w:vAlign w:val="bottom"/>
          </w:tcPr>
          <w:p>
            <w:pPr>
              <w:spacing w:after="0"/>
              <w:rPr>
                <w:sz w:val="1"/>
                <w:szCs w:val="1"/>
                <w:color w:val="auto"/>
              </w:rPr>
            </w:pPr>
          </w:p>
        </w:tc>
      </w:tr>
      <w:tr>
        <w:trPr>
          <w:trHeight w:val="254"/>
        </w:trPr>
        <w:tc>
          <w:tcPr>
            <w:tcW w:w="60" w:type="dxa"/>
            <w:vAlign w:val="bottom"/>
            <w:tcBorders>
              <w:top w:val="single" w:sz="8" w:color="E6E6E6"/>
            </w:tcBorders>
          </w:tcPr>
          <w:p>
            <w:pPr>
              <w:spacing w:after="0"/>
              <w:rPr>
                <w:sz w:val="22"/>
                <w:szCs w:val="22"/>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Gross increase (decrease) in unrecognized tax benefits due to currency fluctuations -</w:t>
            </w:r>
          </w:p>
        </w:tc>
        <w:tc>
          <w:tcPr>
            <w:tcW w:w="40" w:type="dxa"/>
            <w:vAlign w:val="bottom"/>
            <w:tcBorders>
              <w:top w:val="single" w:sz="8" w:color="E6E6E6"/>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840" w:type="dxa"/>
            <w:vAlign w:val="bottom"/>
            <w:tcBorders>
              <w:top w:val="single" w:sz="8" w:color="E6E6E6"/>
            </w:tcBorders>
          </w:tcPr>
          <w:p>
            <w:pPr>
              <w:spacing w:after="0"/>
              <w:rPr>
                <w:sz w:val="22"/>
                <w:szCs w:val="22"/>
                <w:color w:val="auto"/>
              </w:rPr>
            </w:pPr>
          </w:p>
        </w:tc>
        <w:tc>
          <w:tcPr>
            <w:tcW w:w="42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60" w:type="dxa"/>
            <w:vAlign w:val="bottom"/>
            <w:tcBorders>
              <w:top w:val="single" w:sz="8" w:color="E6E6E6"/>
            </w:tcBorders>
          </w:tcPr>
          <w:p>
            <w:pPr>
              <w:spacing w:after="0"/>
              <w:rPr>
                <w:sz w:val="22"/>
                <w:szCs w:val="22"/>
                <w:color w:val="auto"/>
              </w:rPr>
            </w:pPr>
          </w:p>
        </w:tc>
        <w:tc>
          <w:tcPr>
            <w:tcW w:w="20" w:type="dxa"/>
            <w:vAlign w:val="bottom"/>
            <w:tcBorders>
              <w:top w:val="single" w:sz="8" w:color="E6E6E6"/>
            </w:tcBorders>
          </w:tcPr>
          <w:p>
            <w:pPr>
              <w:spacing w:after="0"/>
              <w:rPr>
                <w:sz w:val="22"/>
                <w:szCs w:val="22"/>
                <w:color w:val="auto"/>
              </w:rPr>
            </w:pPr>
          </w:p>
        </w:tc>
        <w:tc>
          <w:tcPr>
            <w:tcW w:w="300" w:type="dxa"/>
            <w:vAlign w:val="bottom"/>
            <w:tcBorders>
              <w:top w:val="single" w:sz="8" w:color="E6E6E6"/>
            </w:tcBorders>
          </w:tcPr>
          <w:p>
            <w:pPr>
              <w:spacing w:after="0"/>
              <w:rPr>
                <w:sz w:val="22"/>
                <w:szCs w:val="22"/>
                <w:color w:val="auto"/>
              </w:rPr>
            </w:pPr>
          </w:p>
        </w:tc>
        <w:tc>
          <w:tcPr>
            <w:tcW w:w="960" w:type="dxa"/>
            <w:vAlign w:val="bottom"/>
            <w:tcBorders>
              <w:top w:val="single" w:sz="8" w:color="E6E6E6"/>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(159)</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prior year tax positions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726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Lapse of statute of limitations</w:t>
            </w:r>
          </w:p>
        </w:tc>
        <w:tc>
          <w:tcPr>
            <w:tcW w:w="840" w:type="dxa"/>
            <w:vAlign w:val="bottom"/>
            <w:tcBorders>
              <w:bottom w:val="single" w:sz="8" w:color="auto"/>
            </w:tcBorders>
            <w:shd w:val="clear" w:color="auto" w:fill="E6E6E6"/>
          </w:tcPr>
          <w:p>
            <w:pPr>
              <w:spacing w:after="0"/>
              <w:rPr>
                <w:sz w:val="24"/>
                <w:szCs w:val="24"/>
                <w:color w:val="auto"/>
              </w:rPr>
            </w:pPr>
          </w:p>
        </w:tc>
        <w:tc>
          <w:tcPr>
            <w:tcW w:w="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72"/>
        </w:trPr>
        <w:tc>
          <w:tcPr>
            <w:tcW w:w="60" w:type="dxa"/>
            <w:vAlign w:val="bottom"/>
          </w:tcPr>
          <w:p>
            <w:pPr>
              <w:spacing w:after="0"/>
              <w:rPr>
                <w:sz w:val="23"/>
                <w:szCs w:val="23"/>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Unrecognized tax benefits as of December 31</w:t>
            </w:r>
          </w:p>
        </w:tc>
        <w:tc>
          <w:tcPr>
            <w:tcW w:w="840" w:type="dxa"/>
            <w:vAlign w:val="bottom"/>
          </w:tcPr>
          <w:p>
            <w:pPr>
              <w:jc w:val="right"/>
              <w:ind w:right="613"/>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937</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All unrecognized tax benefits as of December 31, 2025 and 2024, if recognized, would result in a reduction of the Company's effective tax rate.</w:t>
      </w:r>
    </w:p>
    <w:p>
      <w:pPr>
        <w:spacing w:after="0" w:line="185" w:lineRule="exact"/>
        <w:rPr>
          <w:sz w:val="20"/>
          <w:szCs w:val="20"/>
          <w:color w:val="auto"/>
        </w:rPr>
      </w:pPr>
    </w:p>
    <w:p>
      <w:pPr>
        <w:jc w:val="both"/>
        <w:ind w:firstLine="521"/>
        <w:spacing w:after="0" w:line="306" w:lineRule="auto"/>
        <w:rPr>
          <w:sz w:val="20"/>
          <w:szCs w:val="20"/>
          <w:color w:val="auto"/>
        </w:rPr>
      </w:pPr>
      <w:r>
        <w:rPr>
          <w:rFonts w:ascii="Times New Roman" w:cs="Times New Roman" w:eastAsia="Times New Roman" w:hAnsi="Times New Roman"/>
          <w:sz w:val="19"/>
          <w:szCs w:val="19"/>
          <w:color w:val="auto"/>
        </w:rPr>
        <w:t>The Company recorded interest and penalties of $86 and $80 in its consolidated statement of operations for the years ended December 31, 2025 and 2024, respectively. Total accrued interest and penalties related to tax positions taken on our tax returns and included in non-current income taxes payable was approximately $508 and $431 as of December 31, 2025 and 2024, respectively.</w:t>
      </w:r>
    </w:p>
    <w:p>
      <w:pPr>
        <w:spacing w:after="0" w:line="216"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timing of any resolution of income tax examinations is highly uncertain, as are the amounts and timing of any settlement payment. These events could cause fluctuations in the balance sheet classification of current and non-current assets and liabilities.</w:t>
      </w:r>
    </w:p>
    <w:p>
      <w:pPr>
        <w:spacing w:after="0" w:line="115"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2022,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219"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Company’s adoption of OBBBA did not materially affect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880" w:h="15480" w:orient="portrait"/>
          <w:cols w:equalWidth="0" w:num="1">
            <w:col w:w="9920"/>
          </w:cols>
          <w:pgMar w:left="980" w:top="600" w:right="980" w:bottom="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66"/>
        </w:trPr>
        <w:tc>
          <w:tcPr>
            <w:tcW w:w="1260" w:type="dxa"/>
            <w:vAlign w:val="bottom"/>
          </w:tcPr>
          <w:p>
            <w:pPr>
              <w:spacing w:after="0"/>
              <w:rPr>
                <w:sz w:val="23"/>
                <w:szCs w:val="23"/>
                <w:color w:val="auto"/>
              </w:rPr>
            </w:pPr>
          </w:p>
        </w:tc>
        <w:tc>
          <w:tcPr>
            <w:tcW w:w="6640" w:type="dxa"/>
            <w:vAlign w:val="bottom"/>
            <w:gridSpan w:val="3"/>
          </w:tcPr>
          <w:p>
            <w:pPr>
              <w:jc w:val="center"/>
              <w:ind w:left="663"/>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tc>
        <w:tc>
          <w:tcPr>
            <w:tcW w:w="2020" w:type="dxa"/>
            <w:vAlign w:val="bottom"/>
          </w:tcPr>
          <w:p>
            <w:pPr>
              <w:spacing w:after="0"/>
              <w:rPr>
                <w:sz w:val="23"/>
                <w:szCs w:val="23"/>
                <w:color w:val="auto"/>
              </w:rPr>
            </w:pPr>
          </w:p>
        </w:tc>
      </w:tr>
      <w:tr>
        <w:trPr>
          <w:trHeight w:val="266"/>
        </w:trPr>
        <w:tc>
          <w:tcPr>
            <w:tcW w:w="1260" w:type="dxa"/>
            <w:vAlign w:val="bottom"/>
          </w:tcPr>
          <w:p>
            <w:pPr>
              <w:spacing w:after="0"/>
              <w:rPr>
                <w:sz w:val="23"/>
                <w:szCs w:val="23"/>
                <w:color w:val="auto"/>
              </w:rPr>
            </w:pPr>
          </w:p>
        </w:tc>
        <w:tc>
          <w:tcPr>
            <w:tcW w:w="8660" w:type="dxa"/>
            <w:vAlign w:val="bottom"/>
            <w:gridSpan w:val="4"/>
          </w:tcPr>
          <w:p>
            <w:pPr>
              <w:jc w:val="center"/>
              <w:ind w:right="117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tc>
      </w:tr>
      <w:tr>
        <w:trPr>
          <w:trHeight w:val="266"/>
        </w:trPr>
        <w:tc>
          <w:tcPr>
            <w:tcW w:w="1260" w:type="dxa"/>
            <w:vAlign w:val="bottom"/>
          </w:tcPr>
          <w:p>
            <w:pPr>
              <w:spacing w:after="0"/>
              <w:rPr>
                <w:sz w:val="23"/>
                <w:szCs w:val="23"/>
                <w:color w:val="auto"/>
              </w:rPr>
            </w:pPr>
          </w:p>
        </w:tc>
        <w:tc>
          <w:tcPr>
            <w:tcW w:w="6640" w:type="dxa"/>
            <w:vAlign w:val="bottom"/>
            <w:gridSpan w:val="3"/>
          </w:tcPr>
          <w:p>
            <w:pPr>
              <w:jc w:val="center"/>
              <w:ind w:left="663"/>
              <w:spacing w:after="0"/>
              <w:rPr>
                <w:sz w:val="20"/>
                <w:szCs w:val="20"/>
                <w:color w:val="auto"/>
              </w:rPr>
            </w:pPr>
            <w:r>
              <w:rPr>
                <w:rFonts w:ascii="Times New Roman" w:cs="Times New Roman" w:eastAsia="Times New Roman" w:hAnsi="Times New Roman"/>
                <w:sz w:val="19"/>
                <w:szCs w:val="19"/>
                <w:b w:val="1"/>
                <w:bCs w:val="1"/>
                <w:color w:val="auto"/>
              </w:rPr>
              <w:t>December 31, 2025 and 2024</w:t>
            </w:r>
          </w:p>
        </w:tc>
        <w:tc>
          <w:tcPr>
            <w:tcW w:w="2020" w:type="dxa"/>
            <w:vAlign w:val="bottom"/>
          </w:tcPr>
          <w:p>
            <w:pPr>
              <w:spacing w:after="0"/>
              <w:rPr>
                <w:sz w:val="23"/>
                <w:szCs w:val="23"/>
                <w:color w:val="auto"/>
              </w:rPr>
            </w:pPr>
          </w:p>
        </w:tc>
      </w:tr>
      <w:tr>
        <w:trPr>
          <w:trHeight w:val="266"/>
        </w:trPr>
        <w:tc>
          <w:tcPr>
            <w:tcW w:w="1260" w:type="dxa"/>
            <w:vAlign w:val="bottom"/>
          </w:tcPr>
          <w:p>
            <w:pPr>
              <w:spacing w:after="0"/>
              <w:rPr>
                <w:sz w:val="23"/>
                <w:szCs w:val="23"/>
                <w:color w:val="auto"/>
              </w:rPr>
            </w:pPr>
          </w:p>
        </w:tc>
        <w:tc>
          <w:tcPr>
            <w:tcW w:w="6640" w:type="dxa"/>
            <w:vAlign w:val="bottom"/>
            <w:gridSpan w:val="3"/>
          </w:tcPr>
          <w:p>
            <w:pPr>
              <w:jc w:val="center"/>
              <w:ind w:left="663"/>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tc>
        <w:tc>
          <w:tcPr>
            <w:tcW w:w="2020" w:type="dxa"/>
            <w:vAlign w:val="bottom"/>
          </w:tcPr>
          <w:p>
            <w:pPr>
              <w:spacing w:after="0"/>
              <w:rPr>
                <w:sz w:val="23"/>
                <w:szCs w:val="23"/>
                <w:color w:val="auto"/>
              </w:rPr>
            </w:pPr>
          </w:p>
        </w:tc>
      </w:tr>
      <w:tr>
        <w:trPr>
          <w:trHeight w:val="320"/>
        </w:trPr>
        <w:tc>
          <w:tcPr>
            <w:tcW w:w="79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Net income taxes paid (net of refunds):</w:t>
            </w:r>
          </w:p>
        </w:tc>
        <w:tc>
          <w:tcPr>
            <w:tcW w:w="2020" w:type="dxa"/>
            <w:vAlign w:val="bottom"/>
          </w:tcPr>
          <w:p>
            <w:pPr>
              <w:spacing w:after="0"/>
              <w:rPr>
                <w:sz w:val="24"/>
                <w:szCs w:val="24"/>
                <w:color w:val="auto"/>
              </w:rPr>
            </w:pPr>
          </w:p>
        </w:tc>
      </w:tr>
      <w:tr>
        <w:trPr>
          <w:trHeight w:val="273"/>
        </w:trPr>
        <w:tc>
          <w:tcPr>
            <w:tcW w:w="126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27"/>
        </w:trPr>
        <w:tc>
          <w:tcPr>
            <w:tcW w:w="12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jc w:val="right"/>
              <w:ind w:right="87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90"/>
        </w:trPr>
        <w:tc>
          <w:tcPr>
            <w:tcW w:w="12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Federal</w:t>
            </w:r>
          </w:p>
        </w:tc>
        <w:tc>
          <w:tcPr>
            <w:tcW w:w="664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2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9"/>
        </w:trPr>
        <w:tc>
          <w:tcPr>
            <w:tcW w:w="12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State</w:t>
            </w: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312"/>
        </w:trPr>
        <w:tc>
          <w:tcPr>
            <w:tcW w:w="126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Foreign</w:t>
            </w:r>
          </w:p>
        </w:tc>
        <w:tc>
          <w:tcPr>
            <w:tcW w:w="64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80" w:type="dxa"/>
            <w:vAlign w:val="bottom"/>
            <w:tcBorders>
              <w:bottom w:val="single" w:sz="8" w:color="auto"/>
            </w:tcBorders>
            <w:shd w:val="clear" w:color="auto" w:fill="E6E6E6"/>
          </w:tcPr>
          <w:p>
            <w:pPr>
              <w:spacing w:after="0"/>
              <w:rPr>
                <w:sz w:val="24"/>
                <w:szCs w:val="24"/>
                <w:color w:val="auto"/>
              </w:rPr>
            </w:pPr>
          </w:p>
        </w:tc>
        <w:tc>
          <w:tcPr>
            <w:tcW w:w="2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172</w:t>
            </w:r>
          </w:p>
        </w:tc>
      </w:tr>
      <w:tr>
        <w:trPr>
          <w:trHeight w:val="272"/>
        </w:trPr>
        <w:tc>
          <w:tcPr>
            <w:tcW w:w="1260" w:type="dxa"/>
            <w:vAlign w:val="bottom"/>
          </w:tcPr>
          <w:p>
            <w:pPr>
              <w:spacing w:after="0"/>
              <w:rPr>
                <w:sz w:val="23"/>
                <w:szCs w:val="23"/>
                <w:color w:val="auto"/>
              </w:rPr>
            </w:pPr>
          </w:p>
        </w:tc>
        <w:tc>
          <w:tcPr>
            <w:tcW w:w="664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w:t>
            </w:r>
          </w:p>
        </w:tc>
      </w:tr>
      <w:tr>
        <w:trPr>
          <w:trHeight w:val="20"/>
        </w:trPr>
        <w:tc>
          <w:tcPr>
            <w:tcW w:w="12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Income taxes paid (net of refunds) exceeded 5 percent of total income taxes paid (net of refunds) in the following jurisdictions: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27"/>
        </w:trPr>
        <w:tc>
          <w:tcPr>
            <w:tcW w:w="7720" w:type="dxa"/>
            <w:vAlign w:val="bottom"/>
          </w:tcPr>
          <w:p>
            <w:pPr>
              <w:spacing w:after="0"/>
              <w:rPr>
                <w:sz w:val="19"/>
                <w:szCs w:val="19"/>
                <w:color w:val="auto"/>
              </w:rPr>
            </w:pPr>
          </w:p>
        </w:tc>
        <w:tc>
          <w:tcPr>
            <w:tcW w:w="2200" w:type="dxa"/>
            <w:vAlign w:val="bottom"/>
          </w:tcPr>
          <w:p>
            <w:pPr>
              <w:jc w:val="right"/>
              <w:ind w:right="87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89"/>
        </w:trPr>
        <w:tc>
          <w:tcPr>
            <w:tcW w:w="772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State</w:t>
            </w:r>
          </w:p>
        </w:tc>
        <w:tc>
          <w:tcPr>
            <w:tcW w:w="2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2"/>
        </w:trPr>
        <w:tc>
          <w:tcPr>
            <w:tcW w:w="7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Foreign</w:t>
            </w:r>
          </w:p>
        </w:tc>
        <w:tc>
          <w:tcPr>
            <w:tcW w:w="2200" w:type="dxa"/>
            <w:vAlign w:val="bottom"/>
          </w:tcPr>
          <w:p>
            <w:pPr>
              <w:spacing w:after="0"/>
              <w:rPr>
                <w:sz w:val="24"/>
                <w:szCs w:val="24"/>
                <w:color w:val="auto"/>
              </w:rPr>
            </w:pPr>
          </w:p>
        </w:tc>
      </w:tr>
      <w:tr>
        <w:trPr>
          <w:trHeight w:val="295"/>
        </w:trPr>
        <w:tc>
          <w:tcPr>
            <w:tcW w:w="77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Brazil</w:t>
            </w:r>
          </w:p>
        </w:tc>
        <w:tc>
          <w:tcPr>
            <w:tcW w:w="2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90"/>
        </w:trPr>
        <w:tc>
          <w:tcPr>
            <w:tcW w:w="77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Denmark</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90"/>
        </w:trPr>
        <w:tc>
          <w:tcPr>
            <w:tcW w:w="772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India</w:t>
            </w:r>
          </w:p>
        </w:tc>
        <w:tc>
          <w:tcPr>
            <w:tcW w:w="2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59"/>
        </w:trPr>
        <w:tc>
          <w:tcPr>
            <w:tcW w:w="7720" w:type="dxa"/>
            <w:vAlign w:val="bottom"/>
          </w:tcPr>
          <w:p>
            <w:pPr>
              <w:spacing w:after="0"/>
              <w:rPr>
                <w:sz w:val="20"/>
                <w:szCs w:val="20"/>
                <w:color w:val="auto"/>
              </w:rPr>
            </w:pPr>
            <w:r>
              <w:rPr>
                <w:rFonts w:ascii="Times New Roman" w:cs="Times New Roman" w:eastAsia="Times New Roman" w:hAnsi="Times New Roman"/>
                <w:sz w:val="19"/>
                <w:szCs w:val="19"/>
                <w:color w:val="auto"/>
              </w:rPr>
              <w:t>*- No jurisdiction exceeds 5%</w:t>
            </w:r>
          </w:p>
        </w:tc>
        <w:tc>
          <w:tcPr>
            <w:tcW w:w="2200" w:type="dxa"/>
            <w:vAlign w:val="bottom"/>
          </w:tcPr>
          <w:p>
            <w:pPr>
              <w:spacing w:after="0"/>
              <w:rPr>
                <w:sz w:val="22"/>
                <w:szCs w:val="22"/>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income taxes paid (net of refunds) during 2024 was $173.</w:t>
      </w:r>
    </w:p>
    <w:p>
      <w:pPr>
        <w:spacing w:after="0" w:line="294" w:lineRule="exact"/>
        <w:rPr>
          <w:sz w:val="20"/>
          <w:szCs w:val="20"/>
          <w:color w:val="auto"/>
        </w:rPr>
      </w:pPr>
    </w:p>
    <w:p>
      <w:pPr>
        <w:ind w:left="700" w:hanging="690"/>
        <w:spacing w:after="0"/>
        <w:tabs>
          <w:tab w:leader="none" w:pos="70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Goodwill and Intangible Assets</w:t>
      </w:r>
    </w:p>
    <w:p>
      <w:pPr>
        <w:spacing w:after="0" w:line="317"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On October 8, 2025, the Company purchased the maritime satellite service business of a satellite services provider operating in the Asia-Pacific region. The aggregate purchase price consideration transferred from the Company to the seller totaled $4,721. As a result of the agreement, the Company recognized intangible assets of $3,374 and goodwill of $732.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Please see Note 18 for additional details surrounding the business combination.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Intangible Assets</w:t>
      </w:r>
    </w:p>
    <w:p>
      <w:pPr>
        <w:spacing w:after="0" w:line="311" w:lineRule="exact"/>
        <w:rPr>
          <w:sz w:val="20"/>
          <w:szCs w:val="20"/>
          <w:color w:val="auto"/>
        </w:rPr>
      </w:pPr>
    </w:p>
    <w:p>
      <w:pPr>
        <w:jc w:val="both"/>
        <w:ind w:firstLine="522"/>
        <w:spacing w:after="0" w:line="299" w:lineRule="auto"/>
        <w:rPr>
          <w:sz w:val="20"/>
          <w:szCs w:val="20"/>
          <w:color w:val="auto"/>
        </w:rPr>
      </w:pPr>
      <w:r>
        <w:rPr>
          <w:rFonts w:ascii="Times New Roman" w:cs="Times New Roman" w:eastAsia="Times New Roman" w:hAnsi="Times New Roman"/>
          <w:sz w:val="19"/>
          <w:szCs w:val="19"/>
          <w:color w:val="auto"/>
        </w:rPr>
        <w:t>Intangible assets arose from the purchase of the maritime satellite service business of a satellite services provider operating in the Asia-Pacific region in October 2025, the purchase of distribution rights from Kognitive Networks Inc. in October 2023 and the purchase of KVH Industries Norway AS in September 2010. The assets that are related to the purchased of the maritime satellite service business of a satellite services provider are being amortized on a straight-line basis over the estimated useful life of 9 years.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 as of December 31, 2025.</w:t>
      </w:r>
    </w:p>
    <w:p>
      <w:pPr>
        <w:spacing w:after="0" w:line="224"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9"/>
          <w:szCs w:val="19"/>
          <w:i w:val="1"/>
          <w:iCs w:val="1"/>
          <w:color w:val="auto"/>
        </w:rPr>
        <w:t>Business Combinations (Topic 805)-Clarifying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Definition of a Business</w:t>
      </w:r>
      <w:r>
        <w:rPr>
          <w:rFonts w:ascii="Times New Roman" w:cs="Times New Roman" w:eastAsia="Times New Roman" w:hAnsi="Times New Roman"/>
          <w:sz w:val="19"/>
          <w:szCs w:val="19"/>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0" w:orient="portrait"/>
          <w:cols w:equalWidth="0" w:num="1">
            <w:col w:w="9920"/>
          </w:cols>
          <w:pgMar w:left="980" w:top="600" w:right="980"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Acquired intangible assets are subject to amortization. The following table summarizes acquired intangible assets at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2025 and 2024,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4753610</wp:posOffset>
                </wp:positionH>
                <wp:positionV relativeFrom="paragraph">
                  <wp:posOffset>104140</wp:posOffset>
                </wp:positionV>
                <wp:extent cx="0" cy="31623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6230"/>
                        </a:xfrm>
                        <a:prstGeom prst="line">
                          <a:avLst/>
                        </a:prstGeom>
                        <a:solidFill>
                          <a:srgbClr val="FFFFFF"/>
                        </a:solidFill>
                        <a:ln w="46329">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3pt,8.2pt" to="374.3pt,33.1pt" o:allowincell="f" strokecolor="#FFFFFF" strokeweight="3.648pt"/>
            </w:pict>
          </mc:Fallback>
        </mc:AlternateConten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Gross Carrying</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Net Carrying</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0" w:type="dxa"/>
            <w:vAlign w:val="bottom"/>
            <w:shd w:val="clear" w:color="auto" w:fill="E6E6E6"/>
          </w:tcPr>
          <w:p>
            <w:pPr>
              <w:spacing w:after="0"/>
              <w:rPr>
                <w:sz w:val="24"/>
                <w:szCs w:val="24"/>
                <w:color w:val="auto"/>
              </w:rPr>
            </w:pPr>
          </w:p>
        </w:tc>
        <w:tc>
          <w:tcPr>
            <w:tcW w:w="624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Subscriber relationships</w:t>
            </w:r>
          </w:p>
        </w:tc>
        <w:tc>
          <w:tcPr>
            <w:tcW w:w="2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jc w:val="right"/>
              <w:ind w:right="15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jc w:val="right"/>
              <w:ind w:right="2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Distribution rights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w:t>
            </w: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624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Customer relationships</w:t>
            </w:r>
          </w:p>
        </w:tc>
        <w:tc>
          <w:tcPr>
            <w:tcW w:w="22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3,374</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spacing w:after="0"/>
              <w:rPr>
                <w:sz w:val="24"/>
                <w:szCs w:val="24"/>
                <w:color w:val="auto"/>
              </w:rPr>
            </w:pP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3,280</w:t>
            </w:r>
          </w:p>
        </w:tc>
        <w:tc>
          <w:tcPr>
            <w:tcW w:w="0" w:type="dxa"/>
            <w:vAlign w:val="bottom"/>
          </w:tcPr>
          <w:p>
            <w:pPr>
              <w:spacing w:after="0"/>
              <w:rPr>
                <w:sz w:val="1"/>
                <w:szCs w:val="1"/>
                <w:color w:val="auto"/>
              </w:rPr>
            </w:pPr>
          </w:p>
        </w:tc>
      </w:tr>
      <w:tr>
        <w:trPr>
          <w:trHeight w:val="314"/>
        </w:trPr>
        <w:tc>
          <w:tcPr>
            <w:tcW w:w="60" w:type="dxa"/>
            <w:vAlign w:val="bottom"/>
            <w:tcBorders>
              <w:bottom w:val="single" w:sz="8" w:color="E6E6E6"/>
            </w:tcBorders>
          </w:tcPr>
          <w:p>
            <w:pPr>
              <w:spacing w:after="0"/>
              <w:rPr>
                <w:sz w:val="24"/>
                <w:szCs w:val="24"/>
                <w:color w:val="auto"/>
              </w:rPr>
            </w:pPr>
          </w:p>
        </w:tc>
        <w:tc>
          <w:tcPr>
            <w:tcW w:w="6240" w:type="dxa"/>
            <w:vAlign w:val="bottom"/>
            <w:tcBorders>
              <w:bottom w:val="single" w:sz="8" w:color="E6E6E6"/>
            </w:tcBorders>
            <w:gridSpan w:val="3"/>
          </w:tcPr>
          <w:p>
            <w:pPr>
              <w:ind w:left="340"/>
              <w:spacing w:after="0"/>
              <w:rPr>
                <w:sz w:val="20"/>
                <w:szCs w:val="20"/>
                <w:color w:val="auto"/>
              </w:rPr>
            </w:pPr>
            <w:r>
              <w:rPr>
                <w:rFonts w:ascii="Times New Roman" w:cs="Times New Roman" w:eastAsia="Times New Roman" w:hAnsi="Times New Roman"/>
                <w:sz w:val="19"/>
                <w:szCs w:val="19"/>
                <w:color w:val="auto"/>
              </w:rPr>
              <w:t>Intellectual property</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2,284</w:t>
            </w:r>
          </w:p>
        </w:tc>
        <w:tc>
          <w:tcPr>
            <w:tcW w:w="20" w:type="dxa"/>
            <w:vAlign w:val="bottom"/>
            <w:tcBorders>
              <w:bottom w:val="single" w:sz="8" w:color="E6E6E6"/>
            </w:tcBorders>
          </w:tcPr>
          <w:p>
            <w:pPr>
              <w:spacing w:after="0"/>
              <w:rPr>
                <w:sz w:val="24"/>
                <w:szCs w:val="24"/>
                <w:color w:val="auto"/>
              </w:rPr>
            </w:pPr>
          </w:p>
        </w:tc>
        <w:tc>
          <w:tcPr>
            <w:tcW w:w="4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2,284</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1400" w:type="dxa"/>
            <w:vAlign w:val="bottom"/>
            <w:tcBorders>
              <w:top w:val="single" w:sz="8" w:color="E6E6E6"/>
            </w:tcBorders>
            <w:shd w:val="clear" w:color="auto" w:fill="E6E6E6"/>
          </w:tcPr>
          <w:p>
            <w:pPr>
              <w:spacing w:after="0"/>
              <w:rPr>
                <w:sz w:val="21"/>
                <w:szCs w:val="21"/>
                <w:color w:val="auto"/>
              </w:rPr>
            </w:pPr>
          </w:p>
        </w:tc>
        <w:tc>
          <w:tcPr>
            <w:tcW w:w="482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20" w:type="dxa"/>
            <w:vAlign w:val="bottom"/>
            <w:tcBorders>
              <w:top w:val="single" w:sz="8" w:color="E6E6E6"/>
              <w:bottom w:val="single" w:sz="8" w:color="auto"/>
            </w:tcBorders>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6,993</w:t>
            </w:r>
          </w:p>
        </w:tc>
        <w:tc>
          <w:tcPr>
            <w:tcW w:w="20" w:type="dxa"/>
            <w:vAlign w:val="bottom"/>
            <w:tcBorders>
              <w:top w:val="single" w:sz="8" w:color="E6E6E6"/>
            </w:tcBorders>
            <w:shd w:val="clear" w:color="auto" w:fill="E6E6E6"/>
          </w:tcPr>
          <w:p>
            <w:pPr>
              <w:spacing w:after="0"/>
              <w:rPr>
                <w:sz w:val="21"/>
                <w:szCs w:val="21"/>
                <w:color w:val="auto"/>
              </w:rPr>
            </w:pPr>
          </w:p>
        </w:tc>
        <w:tc>
          <w:tcPr>
            <w:tcW w:w="4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400" w:type="dxa"/>
            <w:vAlign w:val="bottom"/>
            <w:tcBorders>
              <w:top w:val="single" w:sz="8" w:color="E6E6E6"/>
              <w:bottom w:val="single" w:sz="8" w:color="auto"/>
            </w:tcBorders>
            <w:shd w:val="clear" w:color="auto" w:fill="E6E6E6"/>
          </w:tcPr>
          <w:p>
            <w:pPr>
              <w:jc w:val="right"/>
              <w:ind w:right="15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3,276</w:t>
            </w: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260" w:type="dxa"/>
            <w:vAlign w:val="bottom"/>
            <w:tcBorders>
              <w:top w:val="single" w:sz="8" w:color="E6E6E6"/>
              <w:bottom w:val="single" w:sz="8" w:color="auto"/>
            </w:tcBorders>
            <w:shd w:val="clear" w:color="auto" w:fill="E6E6E6"/>
          </w:tcPr>
          <w:p>
            <w:pPr>
              <w:jc w:val="right"/>
              <w:ind w:right="2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E6E6E6"/>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0" w:type="dxa"/>
            <w:vAlign w:val="bottom"/>
            <w:shd w:val="clear" w:color="auto" w:fill="E6E6E6"/>
          </w:tcPr>
          <w:p>
            <w:pPr>
              <w:spacing w:after="0"/>
              <w:rPr>
                <w:sz w:val="24"/>
                <w:szCs w:val="24"/>
                <w:color w:val="auto"/>
              </w:rPr>
            </w:pPr>
          </w:p>
        </w:tc>
        <w:tc>
          <w:tcPr>
            <w:tcW w:w="624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Subscriber relationships</w:t>
            </w:r>
          </w:p>
        </w:tc>
        <w:tc>
          <w:tcPr>
            <w:tcW w:w="220" w:type="dxa"/>
            <w:vAlign w:val="bottom"/>
            <w:shd w:val="clear" w:color="auto" w:fill="E6E6E6"/>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shd w:val="clear" w:color="auto" w:fill="E6E6E6"/>
          </w:tcPr>
          <w:p>
            <w:pPr>
              <w:jc w:val="right"/>
              <w:ind w:right="15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shd w:val="clear" w:color="auto" w:fill="E6E6E6"/>
          </w:tcPr>
          <w:p>
            <w:pPr>
              <w:jc w:val="right"/>
              <w:ind w:right="2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6240" w:type="dxa"/>
            <w:vAlign w:val="bottom"/>
            <w:gridSpan w:val="3"/>
          </w:tcPr>
          <w:p>
            <w:pPr>
              <w:ind w:left="340"/>
              <w:spacing w:after="0"/>
              <w:rPr>
                <w:sz w:val="20"/>
                <w:szCs w:val="20"/>
                <w:color w:val="auto"/>
              </w:rPr>
            </w:pPr>
            <w:r>
              <w:rPr>
                <w:rFonts w:ascii="Times New Roman" w:cs="Times New Roman" w:eastAsia="Times New Roman" w:hAnsi="Times New Roman"/>
                <w:sz w:val="19"/>
                <w:szCs w:val="19"/>
                <w:color w:val="auto"/>
              </w:rPr>
              <w:t>Distribution rights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790</w:t>
            </w:r>
          </w:p>
        </w:tc>
        <w:tc>
          <w:tcPr>
            <w:tcW w:w="0" w:type="dxa"/>
            <w:vAlign w:val="bottom"/>
          </w:tcPr>
          <w:p>
            <w:pPr>
              <w:spacing w:after="0"/>
              <w:rPr>
                <w:sz w:val="1"/>
                <w:szCs w:val="1"/>
                <w:color w:val="auto"/>
              </w:rPr>
            </w:pPr>
          </w:p>
        </w:tc>
      </w:tr>
      <w:tr>
        <w:trPr>
          <w:trHeight w:val="310"/>
        </w:trPr>
        <w:tc>
          <w:tcPr>
            <w:tcW w:w="60" w:type="dxa"/>
            <w:vAlign w:val="bottom"/>
            <w:shd w:val="clear" w:color="auto" w:fill="E6E6E6"/>
          </w:tcPr>
          <w:p>
            <w:pPr>
              <w:spacing w:after="0"/>
              <w:rPr>
                <w:sz w:val="24"/>
                <w:szCs w:val="24"/>
                <w:color w:val="auto"/>
              </w:rPr>
            </w:pPr>
          </w:p>
        </w:tc>
        <w:tc>
          <w:tcPr>
            <w:tcW w:w="6240" w:type="dxa"/>
            <w:vAlign w:val="bottom"/>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Intellectual property</w:t>
            </w:r>
          </w:p>
        </w:tc>
        <w:tc>
          <w:tcPr>
            <w:tcW w:w="220" w:type="dxa"/>
            <w:vAlign w:val="bottom"/>
            <w:tcBorders>
              <w:bottom w:val="single" w:sz="8" w:color="auto"/>
            </w:tcBorders>
            <w:shd w:val="clear" w:color="auto" w:fill="E6E6E6"/>
          </w:tcPr>
          <w:p>
            <w:pPr>
              <w:spacing w:after="0"/>
              <w:rPr>
                <w:sz w:val="24"/>
                <w:szCs w:val="24"/>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2,284</w:t>
            </w:r>
          </w:p>
        </w:tc>
        <w:tc>
          <w:tcPr>
            <w:tcW w:w="20" w:type="dxa"/>
            <w:vAlign w:val="bottom"/>
            <w:shd w:val="clear" w:color="auto" w:fill="E6E6E6"/>
          </w:tcPr>
          <w:p>
            <w:pPr>
              <w:spacing w:after="0"/>
              <w:rPr>
                <w:sz w:val="24"/>
                <w:szCs w:val="24"/>
                <w:color w:val="auto"/>
              </w:rPr>
            </w:pPr>
          </w:p>
        </w:tc>
        <w:tc>
          <w:tcPr>
            <w:tcW w:w="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400" w:type="dxa"/>
            <w:vAlign w:val="bottom"/>
            <w:tcBorders>
              <w:bottom w:val="single" w:sz="8" w:color="auto"/>
            </w:tcBorders>
            <w:shd w:val="clear" w:color="auto" w:fill="E6E6E6"/>
          </w:tcPr>
          <w:p>
            <w:pPr>
              <w:spacing w:after="0"/>
              <w:rPr>
                <w:sz w:val="24"/>
                <w:szCs w:val="24"/>
                <w:color w:val="auto"/>
              </w:rPr>
            </w:pP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2,284</w:t>
            </w:r>
          </w:p>
        </w:tc>
        <w:tc>
          <w:tcPr>
            <w:tcW w:w="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3,585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2,757</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-213995</wp:posOffset>
                </wp:positionV>
                <wp:extent cx="398907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9070"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6.8499pt" to="314.55pt,-16.84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3994785</wp:posOffset>
                </wp:positionH>
                <wp:positionV relativeFrom="paragraph">
                  <wp:posOffset>-208280</wp:posOffset>
                </wp:positionV>
                <wp:extent cx="73533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55pt,-16.3999pt" to="372.45pt,-16.39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5557520</wp:posOffset>
                </wp:positionH>
                <wp:positionV relativeFrom="paragraph">
                  <wp:posOffset>-208280</wp:posOffset>
                </wp:positionV>
                <wp:extent cx="73533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533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7.6pt,-16.3999pt" to="495.5pt,-16.3999pt" o:allowincell="f" strokecolor="#FFFFFF" strokeweight="0.059pt"/>
            </w:pict>
          </mc:Fallback>
        </mc:AlternateContent>
      </w:r>
    </w:p>
    <w:p>
      <w:pPr>
        <w:spacing w:after="0" w:line="226"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Amortization expense related to intangible assets was $519 and $407 for years ended December 31, 2025 and 2024, respectively, and was categorized as general and administrative expense.</w:t>
      </w:r>
    </w:p>
    <w:p>
      <w:pPr>
        <w:spacing w:after="0" w:line="185" w:lineRule="exact"/>
        <w:rPr>
          <w:sz w:val="20"/>
          <w:szCs w:val="20"/>
          <w:color w:val="auto"/>
        </w:rPr>
      </w:pPr>
    </w:p>
    <w:p>
      <w:pPr>
        <w:jc w:val="both"/>
        <w:ind w:firstLine="521"/>
        <w:spacing w:after="0" w:line="337" w:lineRule="auto"/>
        <w:rPr>
          <w:sz w:val="20"/>
          <w:szCs w:val="20"/>
          <w:color w:val="auto"/>
        </w:rPr>
      </w:pPr>
      <w:r>
        <w:rPr>
          <w:rFonts w:ascii="Times New Roman" w:cs="Times New Roman" w:eastAsia="Times New Roman" w:hAnsi="Times New Roman"/>
          <w:sz w:val="19"/>
          <w:szCs w:val="19"/>
          <w:color w:val="auto"/>
        </w:rPr>
        <w:t>As of December 31, 2025, the total weighted average remaining useful lives of the definite-lived intangible assets was 7.8 years and the weighted average remaining useful lives by the definite-lived intangible asset category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880" w:type="dxa"/>
            <w:vAlign w:val="bottom"/>
          </w:tcPr>
          <w:p>
            <w:pPr>
              <w:jc w:val="center"/>
              <w:ind w:left="2873"/>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Intangible Asset</w:t>
            </w:r>
          </w:p>
        </w:tc>
        <w:tc>
          <w:tcPr>
            <w:tcW w:w="3740" w:type="dxa"/>
            <w:vAlign w:val="bottom"/>
            <w:vMerge w:val="restart"/>
          </w:tcPr>
          <w:p>
            <w:pPr>
              <w:spacing w:after="0"/>
              <w:rPr>
                <w:sz w:val="15"/>
                <w:szCs w:val="15"/>
                <w:color w:val="auto"/>
              </w:rPr>
            </w:pPr>
          </w:p>
        </w:tc>
        <w:tc>
          <w:tcPr>
            <w:tcW w:w="4880" w:type="dxa"/>
            <w:vAlign w:val="bottom"/>
          </w:tcPr>
          <w:p>
            <w:pPr>
              <w:jc w:val="center"/>
              <w:ind w:left="2873"/>
              <w:spacing w:after="0"/>
              <w:rPr>
                <w:sz w:val="20"/>
                <w:szCs w:val="20"/>
                <w:color w:val="auto"/>
              </w:rPr>
            </w:pPr>
            <w:r>
              <w:rPr>
                <w:rFonts w:ascii="Times New Roman" w:cs="Times New Roman" w:eastAsia="Times New Roman" w:hAnsi="Times New Roman"/>
                <w:sz w:val="15"/>
                <w:szCs w:val="15"/>
                <w:b w:val="1"/>
                <w:bCs w:val="1"/>
                <w:color w:val="auto"/>
              </w:rPr>
              <w:t>Remaining Useful Life in</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4880" w:type="dxa"/>
            <w:vAlign w:val="bottom"/>
          </w:tcPr>
          <w:p>
            <w:pPr>
              <w:jc w:val="center"/>
              <w:ind w:left="2873"/>
              <w:spacing w:after="0"/>
              <w:rPr>
                <w:sz w:val="20"/>
                <w:szCs w:val="20"/>
                <w:color w:val="auto"/>
              </w:rPr>
            </w:pPr>
            <w:r>
              <w:rPr>
                <w:rFonts w:ascii="Times New Roman" w:cs="Times New Roman" w:eastAsia="Times New Roman" w:hAnsi="Times New Roman"/>
                <w:sz w:val="15"/>
                <w:szCs w:val="15"/>
                <w:b w:val="1"/>
                <w:bCs w:val="1"/>
                <w:color w:val="auto"/>
                <w:w w:val="95"/>
              </w:rPr>
              <w:t>Years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40" w:type="dxa"/>
            <w:vAlign w:val="bottom"/>
            <w:gridSpan w:val="2"/>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4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Subscriber relationships</w:t>
            </w:r>
          </w:p>
        </w:tc>
        <w:tc>
          <w:tcPr>
            <w:tcW w:w="4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Distribution rights</w:t>
            </w:r>
          </w:p>
        </w:tc>
        <w:tc>
          <w:tcPr>
            <w:tcW w:w="4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494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Customer relationships</w:t>
            </w:r>
          </w:p>
        </w:tc>
        <w:tc>
          <w:tcPr>
            <w:tcW w:w="4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8.75</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Estimated future amortization expense for intangible assets recorded by the Company at December 31,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ind w:right="428"/>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2020" w:type="dxa"/>
            <w:vAlign w:val="bottom"/>
            <w:tcBorders>
              <w:bottom w:val="single" w:sz="8" w:color="auto"/>
            </w:tcBorders>
            <w:vMerge w:val="continue"/>
          </w:tcPr>
          <w:p>
            <w:pPr>
              <w:spacing w:after="0"/>
              <w:rPr>
                <w:sz w:val="11"/>
                <w:szCs w:val="11"/>
                <w:color w:val="auto"/>
              </w:rPr>
            </w:pPr>
          </w:p>
        </w:tc>
        <w:tc>
          <w:tcPr>
            <w:tcW w:w="58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vMerge w:val="restart"/>
          </w:tcPr>
          <w:p>
            <w:pPr>
              <w:jc w:val="right"/>
              <w:ind w:right="588"/>
              <w:spacing w:after="0"/>
              <w:rPr>
                <w:sz w:val="20"/>
                <w:szCs w:val="20"/>
                <w:color w:val="auto"/>
              </w:rPr>
            </w:pPr>
            <w:r>
              <w:rPr>
                <w:rFonts w:ascii="Times New Roman" w:cs="Times New Roman" w:eastAsia="Times New Roman" w:hAnsi="Times New Roman"/>
                <w:sz w:val="15"/>
                <w:szCs w:val="15"/>
                <w:b w:val="1"/>
                <w:bCs w:val="1"/>
                <w:color w:val="auto"/>
              </w:rPr>
              <w:t>Expense</w:t>
            </w:r>
          </w:p>
        </w:tc>
        <w:tc>
          <w:tcPr>
            <w:tcW w:w="0" w:type="dxa"/>
            <w:vAlign w:val="bottom"/>
          </w:tcPr>
          <w:p>
            <w:pPr>
              <w:spacing w:after="0"/>
              <w:rPr>
                <w:sz w:val="1"/>
                <w:szCs w:val="1"/>
                <w:color w:val="auto"/>
              </w:rPr>
            </w:pPr>
          </w:p>
        </w:tc>
      </w:tr>
      <w:tr>
        <w:trPr>
          <w:trHeight w:val="47"/>
        </w:trPr>
        <w:tc>
          <w:tcPr>
            <w:tcW w:w="60" w:type="dxa"/>
            <w:vAlign w:val="bottom"/>
            <w:tcBorders>
              <w:bottom w:val="single" w:sz="8" w:color="E6E6E6"/>
            </w:tcBorders>
          </w:tcPr>
          <w:p>
            <w:pPr>
              <w:spacing w:after="0"/>
              <w:rPr>
                <w:sz w:val="4"/>
                <w:szCs w:val="4"/>
                <w:color w:val="auto"/>
              </w:rPr>
            </w:pPr>
          </w:p>
        </w:tc>
        <w:tc>
          <w:tcPr>
            <w:tcW w:w="2020" w:type="dxa"/>
            <w:vAlign w:val="bottom"/>
            <w:tcBorders>
              <w:bottom w:val="single" w:sz="8" w:color="E6E6E6"/>
            </w:tcBorders>
          </w:tcPr>
          <w:p>
            <w:pPr>
              <w:spacing w:after="0"/>
              <w:rPr>
                <w:sz w:val="4"/>
                <w:szCs w:val="4"/>
                <w:color w:val="auto"/>
              </w:rPr>
            </w:pPr>
          </w:p>
        </w:tc>
        <w:tc>
          <w:tcPr>
            <w:tcW w:w="5860" w:type="dxa"/>
            <w:vAlign w:val="bottom"/>
            <w:tcBorders>
              <w:bottom w:val="single" w:sz="8" w:color="E6E6E6"/>
            </w:tcBorders>
            <w:vMerge w:val="continue"/>
          </w:tcPr>
          <w:p>
            <w:pPr>
              <w:spacing w:after="0"/>
              <w:rPr>
                <w:sz w:val="4"/>
                <w:szCs w:val="4"/>
                <w:color w:val="auto"/>
              </w:rPr>
            </w:pPr>
          </w:p>
        </w:tc>
        <w:tc>
          <w:tcPr>
            <w:tcW w:w="20" w:type="dxa"/>
            <w:vAlign w:val="bottom"/>
            <w:tcBorders>
              <w:bottom w:val="single" w:sz="8" w:color="E6E6E6"/>
            </w:tcBorders>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Borders>
              <w:top w:val="single" w:sz="8" w:color="E6E6E6"/>
            </w:tcBorders>
            <w:shd w:val="clear" w:color="auto" w:fill="E6E6E6"/>
          </w:tcPr>
          <w:p>
            <w:pPr>
              <w:spacing w:after="0"/>
              <w:rPr>
                <w:sz w:val="21"/>
                <w:szCs w:val="21"/>
                <w:color w:val="auto"/>
              </w:rPr>
            </w:pPr>
          </w:p>
        </w:tc>
        <w:tc>
          <w:tcPr>
            <w:tcW w:w="202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9"/>
                <w:szCs w:val="19"/>
                <w:color w:val="auto"/>
              </w:rPr>
              <w:t>2026</w:t>
            </w:r>
          </w:p>
        </w:tc>
        <w:tc>
          <w:tcPr>
            <w:tcW w:w="58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40" w:type="dxa"/>
            <w:vAlign w:val="bottom"/>
            <w:tcBorders>
              <w:top w:val="single" w:sz="8" w:color="E6E6E6"/>
            </w:tcBorders>
            <w:shd w:val="clear" w:color="auto" w:fill="E6E6E6"/>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812</w:t>
            </w: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w:t>
            </w:r>
          </w:p>
        </w:tc>
        <w:tc>
          <w:tcPr>
            <w:tcW w:w="0" w:type="dxa"/>
            <w:vAlign w:val="bottom"/>
          </w:tcPr>
          <w:p>
            <w:pPr>
              <w:spacing w:after="0"/>
              <w:rPr>
                <w:sz w:val="1"/>
                <w:szCs w:val="1"/>
                <w:color w:val="auto"/>
              </w:rPr>
            </w:pPr>
          </w:p>
        </w:tc>
      </w:tr>
      <w:tr>
        <w:trPr>
          <w:trHeight w:val="290"/>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2028</w:t>
            </w:r>
          </w:p>
        </w:tc>
        <w:tc>
          <w:tcPr>
            <w:tcW w:w="58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375</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5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w:t>
            </w:r>
          </w:p>
        </w:tc>
        <w:tc>
          <w:tcPr>
            <w:tcW w:w="0" w:type="dxa"/>
            <w:vAlign w:val="bottom"/>
          </w:tcPr>
          <w:p>
            <w:pPr>
              <w:spacing w:after="0"/>
              <w:rPr>
                <w:sz w:val="1"/>
                <w:szCs w:val="1"/>
                <w:color w:val="auto"/>
              </w:rPr>
            </w:pPr>
          </w:p>
        </w:tc>
      </w:tr>
      <w:tr>
        <w:trPr>
          <w:trHeight w:val="289"/>
        </w:trPr>
        <w:tc>
          <w:tcPr>
            <w:tcW w:w="60" w:type="dxa"/>
            <w:vAlign w:val="bottom"/>
            <w:shd w:val="clear" w:color="auto" w:fill="E6E6E6"/>
          </w:tcPr>
          <w:p>
            <w:pPr>
              <w:spacing w:after="0"/>
              <w:rPr>
                <w:sz w:val="24"/>
                <w:szCs w:val="24"/>
                <w:color w:val="auto"/>
              </w:rPr>
            </w:pPr>
          </w:p>
        </w:tc>
        <w:tc>
          <w:tcPr>
            <w:tcW w:w="2020" w:type="dxa"/>
            <w:vAlign w:val="bottom"/>
            <w:shd w:val="clear" w:color="auto" w:fill="E6E6E6"/>
          </w:tcPr>
          <w:p>
            <w:pPr>
              <w:spacing w:after="0"/>
              <w:rPr>
                <w:sz w:val="20"/>
                <w:szCs w:val="20"/>
                <w:color w:val="auto"/>
              </w:rPr>
            </w:pPr>
            <w:r>
              <w:rPr>
                <w:rFonts w:ascii="Times New Roman" w:cs="Times New Roman" w:eastAsia="Times New Roman" w:hAnsi="Times New Roman"/>
                <w:sz w:val="19"/>
                <w:szCs w:val="19"/>
                <w:color w:val="auto"/>
              </w:rPr>
              <w:t>2030</w:t>
            </w:r>
          </w:p>
        </w:tc>
        <w:tc>
          <w:tcPr>
            <w:tcW w:w="58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375</w:t>
            </w:r>
          </w:p>
        </w:tc>
        <w:tc>
          <w:tcPr>
            <w:tcW w:w="0" w:type="dxa"/>
            <w:vAlign w:val="bottom"/>
          </w:tcPr>
          <w:p>
            <w:pPr>
              <w:spacing w:after="0"/>
              <w:rPr>
                <w:sz w:val="1"/>
                <w:szCs w:val="1"/>
                <w:color w:val="auto"/>
              </w:rPr>
            </w:pPr>
          </w:p>
        </w:tc>
      </w:tr>
      <w:tr>
        <w:trPr>
          <w:trHeight w:val="314"/>
        </w:trPr>
        <w:tc>
          <w:tcPr>
            <w:tcW w:w="60" w:type="dxa"/>
            <w:vAlign w:val="bottom"/>
            <w:tcBorders>
              <w:bottom w:val="single" w:sz="8" w:color="E6E6E6"/>
            </w:tcBorders>
          </w:tcPr>
          <w:p>
            <w:pPr>
              <w:spacing w:after="0"/>
              <w:rPr>
                <w:sz w:val="24"/>
                <w:szCs w:val="24"/>
                <w:color w:val="auto"/>
              </w:rPr>
            </w:pPr>
          </w:p>
        </w:tc>
        <w:tc>
          <w:tcPr>
            <w:tcW w:w="7900" w:type="dxa"/>
            <w:vAlign w:val="bottom"/>
            <w:tcBorders>
              <w:bottom w:val="single" w:sz="8" w:color="E6E6E6"/>
            </w:tcBorders>
            <w:gridSpan w:val="3"/>
          </w:tcPr>
          <w:p>
            <w:pPr>
              <w:spacing w:after="0"/>
              <w:rPr>
                <w:sz w:val="20"/>
                <w:szCs w:val="20"/>
                <w:color w:val="auto"/>
              </w:rPr>
            </w:pPr>
            <w:r>
              <w:rPr>
                <w:rFonts w:ascii="Times New Roman" w:cs="Times New Roman" w:eastAsia="Times New Roman" w:hAnsi="Times New Roman"/>
                <w:sz w:val="19"/>
                <w:szCs w:val="19"/>
                <w:color w:val="auto"/>
              </w:rPr>
              <w:t>Thereafter</w:t>
            </w: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1,405</w:t>
            </w:r>
          </w:p>
        </w:tc>
        <w:tc>
          <w:tcPr>
            <w:tcW w:w="0" w:type="dxa"/>
            <w:vAlign w:val="bottom"/>
          </w:tcPr>
          <w:p>
            <w:pPr>
              <w:spacing w:after="0"/>
              <w:rPr>
                <w:sz w:val="1"/>
                <w:szCs w:val="1"/>
                <w:color w:val="auto"/>
              </w:rPr>
            </w:pPr>
          </w:p>
        </w:tc>
      </w:tr>
      <w:tr>
        <w:trPr>
          <w:trHeight w:val="251"/>
        </w:trPr>
        <w:tc>
          <w:tcPr>
            <w:tcW w:w="60" w:type="dxa"/>
            <w:vAlign w:val="bottom"/>
            <w:tcBorders>
              <w:top w:val="single" w:sz="8" w:color="E6E6E6"/>
            </w:tcBorders>
            <w:shd w:val="clear" w:color="auto" w:fill="E6E6E6"/>
          </w:tcPr>
          <w:p>
            <w:pPr>
              <w:spacing w:after="0"/>
              <w:rPr>
                <w:sz w:val="21"/>
                <w:szCs w:val="21"/>
                <w:color w:val="auto"/>
              </w:rPr>
            </w:pPr>
          </w:p>
        </w:tc>
        <w:tc>
          <w:tcPr>
            <w:tcW w:w="7900" w:type="dxa"/>
            <w:vAlign w:val="bottom"/>
            <w:tcBorders>
              <w:top w:val="single" w:sz="8" w:color="E6E6E6"/>
            </w:tcBorders>
            <w:gridSpan w:val="3"/>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Total amortization expense</w:t>
            </w:r>
          </w:p>
        </w:tc>
        <w:tc>
          <w:tcPr>
            <w:tcW w:w="340" w:type="dxa"/>
            <w:vAlign w:val="bottom"/>
            <w:tcBorders>
              <w:top w:val="single" w:sz="8" w:color="E6E6E6"/>
            </w:tcBorders>
            <w:shd w:val="clear" w:color="auto" w:fill="E6E6E6"/>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0" w:orient="portrait"/>
          <w:cols w:equalWidth="0" w:num="1">
            <w:col w:w="9920"/>
          </w:cols>
          <w:pgMar w:left="980" w:top="334" w:right="980" w:bottom="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changes in the carrying amount of intangible assets during the year ended December 31, 2025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40" w:type="dxa"/>
            <w:vAlign w:val="bottom"/>
            <w:tcBorders>
              <w:bottom w:val="single" w:sz="8" w:color="E6E6E6"/>
            </w:tcBorders>
          </w:tcPr>
          <w:p>
            <w:pPr>
              <w:spacing w:after="0"/>
              <w:rPr>
                <w:sz w:val="16"/>
                <w:szCs w:val="16"/>
                <w:color w:val="auto"/>
              </w:rPr>
            </w:pPr>
          </w:p>
        </w:tc>
        <w:tc>
          <w:tcPr>
            <w:tcW w:w="20" w:type="dxa"/>
            <w:vAlign w:val="bottom"/>
            <w:tcBorders>
              <w:bottom w:val="single" w:sz="8" w:color="E6E6E6"/>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
        </w:trPr>
        <w:tc>
          <w:tcPr>
            <w:tcW w:w="796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480" w:type="dxa"/>
            <w:vAlign w:val="bottom"/>
            <w:vMerge w:val="restart"/>
            <w:shd w:val="clear" w:color="auto" w:fill="E6E6E6"/>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828</w:t>
            </w:r>
          </w:p>
        </w:tc>
        <w:tc>
          <w:tcPr>
            <w:tcW w:w="0" w:type="dxa"/>
            <w:vAlign w:val="bottom"/>
          </w:tcPr>
          <w:p>
            <w:pPr>
              <w:spacing w:after="0" w:line="20" w:lineRule="exact"/>
              <w:rPr>
                <w:sz w:val="1"/>
                <w:szCs w:val="1"/>
                <w:color w:val="auto"/>
              </w:rPr>
            </w:pPr>
          </w:p>
        </w:tc>
      </w:tr>
      <w:tr>
        <w:trPr>
          <w:trHeight w:val="249"/>
        </w:trPr>
        <w:tc>
          <w:tcPr>
            <w:tcW w:w="7960" w:type="dxa"/>
            <w:vAlign w:val="bottom"/>
            <w:gridSpan w:val="2"/>
            <w:vMerge w:val="continue"/>
            <w:shd w:val="clear" w:color="auto" w:fill="E6E6E6"/>
          </w:tcPr>
          <w:p>
            <w:pPr>
              <w:spacing w:after="0"/>
              <w:rPr>
                <w:sz w:val="21"/>
                <w:szCs w:val="21"/>
                <w:color w:val="auto"/>
              </w:rPr>
            </w:pPr>
          </w:p>
        </w:tc>
        <w:tc>
          <w:tcPr>
            <w:tcW w:w="480" w:type="dxa"/>
            <w:vAlign w:val="bottom"/>
            <w:vMerge w:val="continue"/>
            <w:shd w:val="clear" w:color="auto" w:fill="E6E6E6"/>
          </w:tcPr>
          <w:p>
            <w:pPr>
              <w:spacing w:after="0"/>
              <w:rPr>
                <w:sz w:val="21"/>
                <w:szCs w:val="21"/>
                <w:color w:val="auto"/>
              </w:rPr>
            </w:pPr>
          </w:p>
        </w:tc>
        <w:tc>
          <w:tcPr>
            <w:tcW w:w="14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9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Amortization expense</w:t>
            </w:r>
          </w:p>
        </w:tc>
        <w:tc>
          <w:tcPr>
            <w:tcW w:w="4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(519)</w:t>
            </w:r>
          </w:p>
        </w:tc>
        <w:tc>
          <w:tcPr>
            <w:tcW w:w="0" w:type="dxa"/>
            <w:vAlign w:val="bottom"/>
          </w:tcPr>
          <w:p>
            <w:pPr>
              <w:spacing w:after="0"/>
              <w:rPr>
                <w:sz w:val="1"/>
                <w:szCs w:val="1"/>
                <w:color w:val="auto"/>
              </w:rPr>
            </w:pPr>
          </w:p>
        </w:tc>
      </w:tr>
      <w:tr>
        <w:trPr>
          <w:trHeight w:val="289"/>
        </w:trPr>
        <w:tc>
          <w:tcPr>
            <w:tcW w:w="7960" w:type="dxa"/>
            <w:vAlign w:val="bottom"/>
            <w:gridSpan w:val="2"/>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Intangible assets acquired in asset acquisition</w:t>
            </w:r>
          </w:p>
        </w:tc>
        <w:tc>
          <w:tcPr>
            <w:tcW w:w="480" w:type="dxa"/>
            <w:vAlign w:val="bottom"/>
            <w:shd w:val="clear" w:color="auto" w:fill="E6E6E6"/>
          </w:tcPr>
          <w:p>
            <w:pPr>
              <w:spacing w:after="0"/>
              <w:rPr>
                <w:sz w:val="24"/>
                <w:szCs w:val="24"/>
                <w:color w:val="auto"/>
              </w:rPr>
            </w:pPr>
          </w:p>
        </w:tc>
        <w:tc>
          <w:tcPr>
            <w:tcW w:w="1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289"/>
        </w:trPr>
        <w:tc>
          <w:tcPr>
            <w:tcW w:w="796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Intangible assets acquired in business combination</w:t>
            </w: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3,374</w:t>
            </w:r>
          </w:p>
        </w:tc>
        <w:tc>
          <w:tcPr>
            <w:tcW w:w="0" w:type="dxa"/>
            <w:vAlign w:val="bottom"/>
          </w:tcPr>
          <w:p>
            <w:pPr>
              <w:spacing w:after="0"/>
              <w:rPr>
                <w:sz w:val="1"/>
                <w:szCs w:val="1"/>
                <w:color w:val="auto"/>
              </w:rPr>
            </w:pPr>
          </w:p>
        </w:tc>
      </w:tr>
      <w:tr>
        <w:trPr>
          <w:trHeight w:val="20"/>
        </w:trPr>
        <w:tc>
          <w:tcPr>
            <w:tcW w:w="796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480" w:type="dxa"/>
            <w:vAlign w:val="bottom"/>
            <w:vMerge w:val="restart"/>
            <w:shd w:val="clear" w:color="auto" w:fill="E6E6E6"/>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3,717</w:t>
            </w:r>
          </w:p>
        </w:tc>
        <w:tc>
          <w:tcPr>
            <w:tcW w:w="0" w:type="dxa"/>
            <w:vAlign w:val="bottom"/>
          </w:tcPr>
          <w:p>
            <w:pPr>
              <w:spacing w:after="0" w:line="20" w:lineRule="exact"/>
              <w:rPr>
                <w:sz w:val="1"/>
                <w:szCs w:val="1"/>
                <w:color w:val="auto"/>
              </w:rPr>
            </w:pPr>
          </w:p>
        </w:tc>
      </w:tr>
      <w:tr>
        <w:trPr>
          <w:trHeight w:val="251"/>
        </w:trPr>
        <w:tc>
          <w:tcPr>
            <w:tcW w:w="7960" w:type="dxa"/>
            <w:vAlign w:val="bottom"/>
            <w:gridSpan w:val="2"/>
            <w:vMerge w:val="continue"/>
            <w:shd w:val="clear" w:color="auto" w:fill="E6E6E6"/>
          </w:tcPr>
          <w:p>
            <w:pPr>
              <w:spacing w:after="0"/>
              <w:rPr>
                <w:sz w:val="21"/>
                <w:szCs w:val="21"/>
                <w:color w:val="auto"/>
              </w:rPr>
            </w:pPr>
          </w:p>
        </w:tc>
        <w:tc>
          <w:tcPr>
            <w:tcW w:w="480" w:type="dxa"/>
            <w:vAlign w:val="bottom"/>
            <w:vMerge w:val="continue"/>
            <w:shd w:val="clear" w:color="auto" w:fill="E6E6E6"/>
          </w:tcPr>
          <w:p>
            <w:pPr>
              <w:spacing w:after="0"/>
              <w:rPr>
                <w:sz w:val="21"/>
                <w:szCs w:val="21"/>
                <w:color w:val="auto"/>
              </w:rPr>
            </w:pPr>
          </w:p>
        </w:tc>
        <w:tc>
          <w:tcPr>
            <w:tcW w:w="14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311" w:lineRule="exact"/>
        <w:rPr>
          <w:sz w:val="20"/>
          <w:szCs w:val="20"/>
          <w:color w:val="auto"/>
        </w:rPr>
      </w:pPr>
    </w:p>
    <w:p>
      <w:pPr>
        <w:jc w:val="both"/>
        <w:ind w:firstLine="521"/>
        <w:spacing w:after="0" w:line="318" w:lineRule="auto"/>
        <w:rPr>
          <w:sz w:val="20"/>
          <w:szCs w:val="20"/>
          <w:color w:val="auto"/>
        </w:rPr>
      </w:pPr>
      <w:r>
        <w:rPr>
          <w:rFonts w:ascii="Times New Roman" w:cs="Times New Roman" w:eastAsia="Times New Roman" w:hAnsi="Times New Roman"/>
          <w:sz w:val="19"/>
          <w:szCs w:val="19"/>
          <w:color w:val="auto"/>
        </w:rPr>
        <w:t>As of December 31, 2025, the Company's goodwill is associated with the purchase of the maritime satellite service business of a satellite services provider operating in the Asia-Pacific region in October 2025.</w:t>
      </w:r>
    </w:p>
    <w:p>
      <w:pPr>
        <w:spacing w:after="0" w:line="185"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Goodwill is recorded when the consideration for an acquisition exceeds the fair value of net tangible and identifiable intangible assets acquired. The changes in the carrying amount of goodwill during the year ended December 31, 2025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E6E6E6"/>
            </w:tcBorders>
          </w:tcPr>
          <w:p>
            <w:pPr>
              <w:spacing w:after="0"/>
              <w:rPr>
                <w:sz w:val="16"/>
                <w:szCs w:val="16"/>
                <w:color w:val="auto"/>
              </w:rPr>
            </w:pPr>
          </w:p>
        </w:tc>
        <w:tc>
          <w:tcPr>
            <w:tcW w:w="20" w:type="dxa"/>
            <w:vAlign w:val="bottom"/>
            <w:tcBorders>
              <w:bottom w:val="single" w:sz="8" w:color="E6E6E6"/>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
        </w:trPr>
        <w:tc>
          <w:tcPr>
            <w:tcW w:w="796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Balance at December 31, 2024</w:t>
            </w:r>
          </w:p>
        </w:tc>
        <w:tc>
          <w:tcPr>
            <w:tcW w:w="480" w:type="dxa"/>
            <w:vAlign w:val="bottom"/>
            <w:vMerge w:val="restart"/>
            <w:shd w:val="clear" w:color="auto" w:fill="E6E6E6"/>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line="20" w:lineRule="exact"/>
              <w:rPr>
                <w:sz w:val="1"/>
                <w:szCs w:val="1"/>
                <w:color w:val="auto"/>
              </w:rPr>
            </w:pPr>
          </w:p>
        </w:tc>
      </w:tr>
      <w:tr>
        <w:trPr>
          <w:trHeight w:val="250"/>
        </w:trPr>
        <w:tc>
          <w:tcPr>
            <w:tcW w:w="7960" w:type="dxa"/>
            <w:vAlign w:val="bottom"/>
            <w:gridSpan w:val="2"/>
            <w:vMerge w:val="continue"/>
            <w:shd w:val="clear" w:color="auto" w:fill="E6E6E6"/>
          </w:tcPr>
          <w:p>
            <w:pPr>
              <w:spacing w:after="0"/>
              <w:rPr>
                <w:sz w:val="21"/>
                <w:szCs w:val="21"/>
                <w:color w:val="auto"/>
              </w:rPr>
            </w:pPr>
          </w:p>
        </w:tc>
        <w:tc>
          <w:tcPr>
            <w:tcW w:w="480" w:type="dxa"/>
            <w:vAlign w:val="bottom"/>
            <w:vMerge w:val="continue"/>
            <w:shd w:val="clear" w:color="auto" w:fill="E6E6E6"/>
          </w:tcPr>
          <w:p>
            <w:pPr>
              <w:spacing w:after="0"/>
              <w:rPr>
                <w:sz w:val="21"/>
                <w:szCs w:val="21"/>
                <w:color w:val="auto"/>
              </w:rPr>
            </w:pPr>
          </w:p>
        </w:tc>
        <w:tc>
          <w:tcPr>
            <w:tcW w:w="14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E6E6E6"/>
            </w:tcBorders>
            <w:gridSpan w:val="2"/>
          </w:tcPr>
          <w:p>
            <w:pPr>
              <w:ind w:left="400"/>
              <w:spacing w:after="0"/>
              <w:rPr>
                <w:sz w:val="20"/>
                <w:szCs w:val="20"/>
                <w:color w:val="auto"/>
              </w:rPr>
            </w:pPr>
            <w:r>
              <w:rPr>
                <w:rFonts w:ascii="Times New Roman" w:cs="Times New Roman" w:eastAsia="Times New Roman" w:hAnsi="Times New Roman"/>
                <w:sz w:val="19"/>
                <w:szCs w:val="19"/>
                <w:color w:val="auto"/>
              </w:rPr>
              <w:t>Acquisition of goodwill in business combination</w:t>
            </w:r>
          </w:p>
        </w:tc>
        <w:tc>
          <w:tcPr>
            <w:tcW w:w="4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732</w:t>
            </w:r>
          </w:p>
        </w:tc>
        <w:tc>
          <w:tcPr>
            <w:tcW w:w="0" w:type="dxa"/>
            <w:vAlign w:val="bottom"/>
          </w:tcPr>
          <w:p>
            <w:pPr>
              <w:spacing w:after="0"/>
              <w:rPr>
                <w:sz w:val="1"/>
                <w:szCs w:val="1"/>
                <w:color w:val="auto"/>
              </w:rPr>
            </w:pPr>
          </w:p>
        </w:tc>
      </w:tr>
      <w:tr>
        <w:trPr>
          <w:trHeight w:val="20"/>
        </w:trPr>
        <w:tc>
          <w:tcPr>
            <w:tcW w:w="7960" w:type="dxa"/>
            <w:vAlign w:val="bottom"/>
            <w:gridSpan w:val="2"/>
            <w:vMerge w:val="restart"/>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Balance at December 31, 2025</w:t>
            </w:r>
          </w:p>
        </w:tc>
        <w:tc>
          <w:tcPr>
            <w:tcW w:w="480" w:type="dxa"/>
            <w:vAlign w:val="bottom"/>
            <w:vMerge w:val="restart"/>
            <w:shd w:val="clear" w:color="auto" w:fill="E6E6E6"/>
          </w:tcPr>
          <w:p>
            <w:pPr>
              <w:jc w:val="right"/>
              <w:ind w:right="243"/>
              <w:spacing w:after="0"/>
              <w:rPr>
                <w:sz w:val="20"/>
                <w:szCs w:val="20"/>
                <w:color w:val="auto"/>
              </w:rPr>
            </w:pPr>
            <w:r>
              <w:rPr>
                <w:rFonts w:ascii="Times New Roman" w:cs="Times New Roman" w:eastAsia="Times New Roman" w:hAnsi="Times New Roman"/>
                <w:sz w:val="19"/>
                <w:szCs w:val="19"/>
                <w:color w:val="auto"/>
              </w:rPr>
              <w:t>$</w:t>
            </w:r>
          </w:p>
        </w:tc>
        <w:tc>
          <w:tcPr>
            <w:tcW w:w="14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732</w:t>
            </w:r>
          </w:p>
        </w:tc>
        <w:tc>
          <w:tcPr>
            <w:tcW w:w="0" w:type="dxa"/>
            <w:vAlign w:val="bottom"/>
          </w:tcPr>
          <w:p>
            <w:pPr>
              <w:spacing w:after="0" w:line="20" w:lineRule="exact"/>
              <w:rPr>
                <w:sz w:val="1"/>
                <w:szCs w:val="1"/>
                <w:color w:val="auto"/>
              </w:rPr>
            </w:pPr>
          </w:p>
        </w:tc>
      </w:tr>
      <w:tr>
        <w:trPr>
          <w:trHeight w:val="251"/>
        </w:trPr>
        <w:tc>
          <w:tcPr>
            <w:tcW w:w="7960" w:type="dxa"/>
            <w:vAlign w:val="bottom"/>
            <w:gridSpan w:val="2"/>
            <w:vMerge w:val="continue"/>
            <w:shd w:val="clear" w:color="auto" w:fill="E6E6E6"/>
          </w:tcPr>
          <w:p>
            <w:pPr>
              <w:spacing w:after="0"/>
              <w:rPr>
                <w:sz w:val="21"/>
                <w:szCs w:val="21"/>
                <w:color w:val="auto"/>
              </w:rPr>
            </w:pPr>
          </w:p>
        </w:tc>
        <w:tc>
          <w:tcPr>
            <w:tcW w:w="480" w:type="dxa"/>
            <w:vAlign w:val="bottom"/>
            <w:vMerge w:val="continue"/>
            <w:shd w:val="clear" w:color="auto" w:fill="E6E6E6"/>
          </w:tcPr>
          <w:p>
            <w:pPr>
              <w:spacing w:after="0"/>
              <w:rPr>
                <w:sz w:val="21"/>
                <w:szCs w:val="21"/>
                <w:color w:val="auto"/>
              </w:rPr>
            </w:pPr>
          </w:p>
        </w:tc>
        <w:tc>
          <w:tcPr>
            <w:tcW w:w="144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700" w:hanging="690"/>
        <w:spacing w:after="0"/>
        <w:tabs>
          <w:tab w:leader="none" w:pos="70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401(k) Plan</w:t>
      </w:r>
    </w:p>
    <w:p>
      <w:pPr>
        <w:spacing w:after="0" w:line="317"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Company has a 401(k) Plan (the Plan) for all eligible employees. Participants may defer a portion of their pre-tax or post-tax earnings subject to limits determined by the Internal Revenue Service. Participants age 50 or older may be eligible to make additional contributions. The Company matches contributions by the Plan participants up to 6%. The Company’s contributions vest over a five-year period from the date of hire. The Company matching contributions were $265 and $351 for the years ended December 31, 2025 and 2024, respectively. In addition, the Company may make additional contributions to the Plan at the discretion of the Compensation Committee of the Board of Directors. There were no discretionary contributions in 2025 and 2024.</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0" w:orient="portrait"/>
          <w:cols w:equalWidth="0" w:num="1">
            <w:col w:w="9920"/>
          </w:cols>
          <w:pgMar w:left="980" w:top="334" w:right="98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2" w:lineRule="exact"/>
        <w:rPr>
          <w:sz w:val="20"/>
          <w:szCs w:val="20"/>
          <w:color w:val="auto"/>
        </w:rPr>
      </w:pPr>
    </w:p>
    <w:p>
      <w:pPr>
        <w:ind w:left="700" w:hanging="691"/>
        <w:spacing w:after="0"/>
        <w:tabs>
          <w:tab w:leader="none" w:pos="70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 from Contracts with Customers</w:t>
      </w:r>
    </w:p>
    <w:p>
      <w:pPr>
        <w:spacing w:after="0" w:line="317" w:lineRule="exact"/>
        <w:rPr>
          <w:sz w:val="20"/>
          <w:szCs w:val="20"/>
          <w:color w:val="auto"/>
        </w:rPr>
      </w:pPr>
    </w:p>
    <w:p>
      <w:pPr>
        <w:jc w:val="both"/>
        <w:ind w:firstLine="521"/>
        <w:spacing w:after="0" w:line="302" w:lineRule="auto"/>
        <w:rPr>
          <w:sz w:val="20"/>
          <w:szCs w:val="20"/>
          <w:color w:val="auto"/>
        </w:rPr>
      </w:pPr>
      <w:r>
        <w:rPr>
          <w:rFonts w:ascii="Times New Roman" w:cs="Times New Roman" w:eastAsia="Times New Roman" w:hAnsi="Times New Roman"/>
          <w:sz w:val="19"/>
          <w:szCs w:val="19"/>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Disaggregation of Revenue</w:t>
      </w:r>
    </w:p>
    <w:p>
      <w:pPr>
        <w:spacing w:after="0" w:line="3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following table summarizes net sales from contracts with customers for the years ended December 31, 2025 and 2024:</w:t>
      </w:r>
    </w:p>
    <w:p>
      <w:pPr>
        <w:spacing w:after="0" w:line="1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4674870</wp:posOffset>
                </wp:positionH>
                <wp:positionV relativeFrom="paragraph">
                  <wp:posOffset>13970</wp:posOffset>
                </wp:positionV>
                <wp:extent cx="161798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980" cy="4763"/>
                        </a:xfrm>
                        <a:prstGeom prst="line">
                          <a:avLst/>
                        </a:prstGeom>
                        <a:solidFill>
                          <a:srgbClr val="FFFFFF"/>
                        </a:solidFill>
                        <a:ln w="11772">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1pt,1.1pt" to="495.5pt,1.1pt" o:allowincell="f" strokecolor="#000000" strokeweight="0.9269pt"/>
            </w:pict>
          </mc:Fallback>
        </mc:AlternateConten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240" w:type="dxa"/>
            <w:vAlign w:val="bottom"/>
            <w:tcBorders>
              <w:bottom w:val="single" w:sz="8" w:color="E6E6E6"/>
            </w:tcBorders>
          </w:tcPr>
          <w:p>
            <w:pPr>
              <w:spacing w:after="0"/>
              <w:rPr>
                <w:sz w:val="21"/>
                <w:szCs w:val="21"/>
                <w:color w:val="auto"/>
              </w:rPr>
            </w:pPr>
          </w:p>
        </w:tc>
        <w:tc>
          <w:tcPr>
            <w:tcW w:w="10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 w:type="dxa"/>
            <w:vAlign w:val="bottom"/>
            <w:tcBorders>
              <w:bottom w:val="single" w:sz="8" w:color="E6E6E6"/>
            </w:tcBorders>
          </w:tcPr>
          <w:p>
            <w:pPr>
              <w:spacing w:after="0"/>
              <w:rPr>
                <w:sz w:val="21"/>
                <w:szCs w:val="21"/>
                <w:color w:val="auto"/>
              </w:rPr>
            </w:pPr>
          </w:p>
        </w:tc>
        <w:tc>
          <w:tcPr>
            <w:tcW w:w="2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251"/>
        </w:trPr>
        <w:tc>
          <w:tcPr>
            <w:tcW w:w="7240" w:type="dxa"/>
            <w:vAlign w:val="bottom"/>
            <w:tcBorders>
              <w:top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Service - over time</w:t>
            </w:r>
          </w:p>
        </w:tc>
        <w:tc>
          <w:tcPr>
            <w:tcW w:w="10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E6E6E6"/>
            </w:tcBorders>
            <w:shd w:val="clear" w:color="auto" w:fill="E6E6E6"/>
          </w:tcPr>
          <w:p>
            <w:pPr>
              <w:spacing w:after="0"/>
              <w:rPr>
                <w:sz w:val="21"/>
                <w:szCs w:val="21"/>
                <w:color w:val="auto"/>
              </w:rPr>
            </w:pPr>
          </w:p>
        </w:tc>
        <w:tc>
          <w:tcPr>
            <w:tcW w:w="9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98,407</w:t>
            </w:r>
          </w:p>
        </w:tc>
        <w:tc>
          <w:tcPr>
            <w:tcW w:w="60" w:type="dxa"/>
            <w:vAlign w:val="bottom"/>
            <w:tcBorders>
              <w:top w:val="single" w:sz="8" w:color="E6E6E6"/>
            </w:tcBorders>
            <w:shd w:val="clear" w:color="auto" w:fill="E6E6E6"/>
          </w:tcPr>
          <w:p>
            <w:pPr>
              <w:spacing w:after="0"/>
              <w:rPr>
                <w:sz w:val="21"/>
                <w:szCs w:val="21"/>
                <w:color w:val="auto"/>
              </w:rPr>
            </w:pPr>
          </w:p>
        </w:tc>
        <w:tc>
          <w:tcPr>
            <w:tcW w:w="20" w:type="dxa"/>
            <w:vAlign w:val="bottom"/>
            <w:tcBorders>
              <w:top w:val="single" w:sz="8" w:color="E6E6E6"/>
            </w:tcBorders>
            <w:shd w:val="clear" w:color="auto" w:fill="E6E6E6"/>
          </w:tcPr>
          <w:p>
            <w:pPr>
              <w:spacing w:after="0"/>
              <w:rPr>
                <w:sz w:val="21"/>
                <w:szCs w:val="21"/>
                <w:color w:val="auto"/>
              </w:rPr>
            </w:pPr>
          </w:p>
        </w:tc>
        <w:tc>
          <w:tcPr>
            <w:tcW w:w="300" w:type="dxa"/>
            <w:vAlign w:val="bottom"/>
            <w:tcBorders>
              <w:top w:val="single" w:sz="8" w:color="E6E6E6"/>
            </w:tcBorders>
            <w:shd w:val="clear" w:color="auto" w:fill="E6E6E6"/>
          </w:tcPr>
          <w:p>
            <w:pPr>
              <w:spacing w:after="0"/>
              <w:rPr>
                <w:sz w:val="21"/>
                <w:szCs w:val="21"/>
                <w:color w:val="auto"/>
              </w:rPr>
            </w:pPr>
          </w:p>
        </w:tc>
        <w:tc>
          <w:tcPr>
            <w:tcW w:w="9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96,446</w:t>
            </w:r>
          </w:p>
        </w:tc>
      </w:tr>
      <w:tr>
        <w:trPr>
          <w:trHeight w:val="314"/>
        </w:trPr>
        <w:tc>
          <w:tcPr>
            <w:tcW w:w="7240" w:type="dxa"/>
            <w:vAlign w:val="bottom"/>
            <w:tcBorders>
              <w:bottom w:val="single" w:sz="8" w:color="E6E6E6"/>
            </w:tcBorders>
          </w:tcPr>
          <w:p>
            <w:pPr>
              <w:ind w:left="60"/>
              <w:spacing w:after="0"/>
              <w:rPr>
                <w:sz w:val="20"/>
                <w:szCs w:val="20"/>
                <w:color w:val="auto"/>
              </w:rPr>
            </w:pPr>
            <w:r>
              <w:rPr>
                <w:rFonts w:ascii="Times New Roman" w:cs="Times New Roman" w:eastAsia="Times New Roman" w:hAnsi="Times New Roman"/>
                <w:sz w:val="19"/>
                <w:szCs w:val="19"/>
                <w:color w:val="auto"/>
              </w:rPr>
              <w:t>Product - point in time</w:t>
            </w:r>
          </w:p>
        </w:tc>
        <w:tc>
          <w:tcPr>
            <w:tcW w:w="10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12,602</w:t>
            </w:r>
          </w:p>
        </w:tc>
        <w:tc>
          <w:tcPr>
            <w:tcW w:w="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17,382</w:t>
            </w:r>
          </w:p>
        </w:tc>
      </w:tr>
      <w:tr>
        <w:trPr>
          <w:trHeight w:val="251"/>
        </w:trPr>
        <w:tc>
          <w:tcPr>
            <w:tcW w:w="7240" w:type="dxa"/>
            <w:vAlign w:val="bottom"/>
            <w:tcBorders>
              <w:top w:val="single" w:sz="8" w:color="E6E6E6"/>
            </w:tcBorders>
            <w:shd w:val="clear" w:color="auto" w:fill="E6E6E6"/>
          </w:tcPr>
          <w:p>
            <w:pPr>
              <w:ind w:left="18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0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bottom w:val="single" w:sz="8" w:color="auto"/>
            </w:tcBorders>
            <w:gridSpan w:val="2"/>
            <w:shd w:val="clear" w:color="auto" w:fill="E6E6E6"/>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E6E6E6"/>
              <w:bottom w:val="single" w:sz="8" w:color="auto"/>
            </w:tcBorders>
            <w:shd w:val="clear" w:color="auto" w:fill="E6E6E6"/>
          </w:tcPr>
          <w:p>
            <w:pPr>
              <w:jc w:val="right"/>
              <w:ind w:right="8"/>
              <w:spacing w:after="0"/>
              <w:rPr>
                <w:sz w:val="20"/>
                <w:szCs w:val="20"/>
                <w:color w:val="auto"/>
              </w:rPr>
            </w:pPr>
            <w:r>
              <w:rPr>
                <w:rFonts w:ascii="Times New Roman" w:cs="Times New Roman" w:eastAsia="Times New Roman" w:hAnsi="Times New Roman"/>
                <w:sz w:val="19"/>
                <w:szCs w:val="19"/>
                <w:color w:val="auto"/>
              </w:rPr>
              <w:t>111,009</w:t>
            </w:r>
          </w:p>
        </w:tc>
        <w:tc>
          <w:tcPr>
            <w:tcW w:w="60" w:type="dxa"/>
            <w:vAlign w:val="bottom"/>
            <w:tcBorders>
              <w:top w:val="single" w:sz="8" w:color="E6E6E6"/>
            </w:tcBorders>
            <w:shd w:val="clear" w:color="auto" w:fill="E6E6E6"/>
          </w:tcPr>
          <w:p>
            <w:pPr>
              <w:spacing w:after="0"/>
              <w:rPr>
                <w:sz w:val="21"/>
                <w:szCs w:val="21"/>
                <w:color w:val="auto"/>
              </w:rPr>
            </w:pPr>
          </w:p>
        </w:tc>
        <w:tc>
          <w:tcPr>
            <w:tcW w:w="320" w:type="dxa"/>
            <w:vAlign w:val="bottom"/>
            <w:tcBorders>
              <w:top w:val="single" w:sz="8" w:color="E6E6E6"/>
              <w:bottom w:val="single" w:sz="8" w:color="auto"/>
            </w:tcBorders>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top w:val="single" w:sz="8" w:color="E6E6E6"/>
              <w:bottom w:val="single" w:sz="8" w:color="auto"/>
            </w:tcBorders>
            <w:shd w:val="clear" w:color="auto" w:fill="E6E6E6"/>
          </w:tcPr>
          <w:p>
            <w:pPr>
              <w:jc w:val="right"/>
              <w:ind w:right="8"/>
              <w:spacing w:after="0"/>
              <w:rPr>
                <w:sz w:val="20"/>
                <w:szCs w:val="20"/>
                <w:color w:val="auto"/>
              </w:rPr>
            </w:pPr>
            <w:r>
              <w:rPr>
                <w:rFonts w:ascii="Times New Roman" w:cs="Times New Roman" w:eastAsia="Times New Roman" w:hAnsi="Times New Roman"/>
                <w:sz w:val="19"/>
                <w:szCs w:val="19"/>
                <w:color w:val="auto"/>
              </w:rPr>
              <w:t>113,828</w:t>
            </w:r>
          </w:p>
        </w:tc>
      </w:tr>
      <w:tr>
        <w:trPr>
          <w:trHeight w:val="20"/>
        </w:trPr>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220"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Company offers a comprehensive family of mobile satellite antenna services and products that provide access to the Internet, television, and VoIP services while on the move. Service sales of airtime service accounted for approximately 82% and 80% of the Company's consolidated net sales for 2025 and 2024, respectively. The balance of service sales are comprised of distribution of commercially licensed entertainment and news, product repairs, and extended warranty sales. Product sales accounted for 11% and 15% of the Company’s consolidated net sales for 2025 and 2024, respectively.</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No other single product class accounts for 10% or more of consolidated net sales.</w:t>
      </w:r>
    </w:p>
    <w:p>
      <w:pPr>
        <w:spacing w:after="0" w:line="314" w:lineRule="exact"/>
        <w:rPr>
          <w:sz w:val="20"/>
          <w:szCs w:val="20"/>
          <w:color w:val="auto"/>
        </w:rPr>
      </w:pPr>
    </w:p>
    <w:p>
      <w:pPr>
        <w:jc w:val="both"/>
        <w:ind w:firstLine="521"/>
        <w:spacing w:after="0" w:line="289" w:lineRule="auto"/>
        <w:rPr>
          <w:sz w:val="20"/>
          <w:szCs w:val="20"/>
          <w:color w:val="auto"/>
        </w:rPr>
      </w:pPr>
      <w:r>
        <w:rPr>
          <w:rFonts w:ascii="Times New Roman" w:cs="Times New Roman" w:eastAsia="Times New Roman" w:hAnsi="Times New Roman"/>
          <w:sz w:val="19"/>
          <w:szCs w:val="19"/>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78% and 73% of the Company’s consolidated net sales for 2025 and 2024, respectively. Sales to Singapore customers represented 21% of the Company’s consolidated net sales for both 2025 and 2024. No other individual foreign country represented 10% or more of the Company’s consolidated net sales for 2025 or 2024.</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880" w:h="15480" w:orient="portrait"/>
          <w:cols w:equalWidth="0" w:num="1">
            <w:col w:w="9920"/>
          </w:cols>
          <w:pgMar w:left="980" w:top="334" w:right="980" w:bottom="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and Credit Concentrations</w:t>
      </w:r>
    </w:p>
    <w:p>
      <w:pPr>
        <w:spacing w:after="0" w:line="313" w:lineRule="exact"/>
        <w:rPr>
          <w:sz w:val="20"/>
          <w:szCs w:val="20"/>
          <w:color w:val="auto"/>
        </w:rPr>
      </w:pPr>
    </w:p>
    <w:p>
      <w:pPr>
        <w:jc w:val="both"/>
        <w:ind w:firstLine="521"/>
        <w:spacing w:after="0" w:line="291" w:lineRule="auto"/>
        <w:rPr>
          <w:sz w:val="20"/>
          <w:szCs w:val="20"/>
          <w:color w:val="auto"/>
        </w:rPr>
      </w:pPr>
      <w:r>
        <w:rPr>
          <w:rFonts w:ascii="Times New Roman" w:cs="Times New Roman" w:eastAsia="Times New Roman" w:hAnsi="Times New Roman"/>
          <w:sz w:val="19"/>
          <w:szCs w:val="19"/>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206" w:lineRule="exact"/>
        <w:rPr>
          <w:sz w:val="20"/>
          <w:szCs w:val="20"/>
          <w:color w:val="auto"/>
        </w:rPr>
      </w:pPr>
    </w:p>
    <w:p>
      <w:pPr>
        <w:jc w:val="both"/>
        <w:ind w:firstLine="521"/>
        <w:spacing w:after="0" w:line="284" w:lineRule="auto"/>
        <w:rPr>
          <w:sz w:val="20"/>
          <w:szCs w:val="20"/>
          <w:color w:val="auto"/>
        </w:rPr>
      </w:pPr>
      <w:r>
        <w:rPr>
          <w:rFonts w:ascii="Times New Roman" w:cs="Times New Roman" w:eastAsia="Times New Roman" w:hAnsi="Times New Roman"/>
          <w:sz w:val="19"/>
          <w:szCs w:val="19"/>
          <w:color w:val="auto"/>
        </w:rPr>
        <w:t>One customer accounted for 11% of consolidated net sales for both 2025 and 2024. No other customers accounted for 10% or more of consolidated net sales for 2025 or 2024. One customer accounted for approximately 16% and 19% of accounts receivable at December 31, 2025 and 2024, respectively. One customer accounted for 29% and 45% of long-term accounts receivable included in other non-current assets on the consolidated balance sheets related to sales-type leases at December 31, 2025 and 2024, respectively.</w:t>
      </w:r>
    </w:p>
    <w:p>
      <w:pPr>
        <w:spacing w:after="0" w:line="200" w:lineRule="exact"/>
        <w:rPr>
          <w:sz w:val="20"/>
          <w:szCs w:val="20"/>
          <w:color w:val="auto"/>
        </w:rPr>
      </w:pPr>
    </w:p>
    <w:p>
      <w:pPr>
        <w:jc w:val="both"/>
        <w:ind w:firstLine="521"/>
        <w:spacing w:after="0" w:line="295" w:lineRule="auto"/>
        <w:rPr>
          <w:sz w:val="20"/>
          <w:szCs w:val="20"/>
          <w:color w:val="auto"/>
        </w:rPr>
      </w:pPr>
      <w:r>
        <w:rPr>
          <w:rFonts w:ascii="Times New Roman" w:cs="Times New Roman" w:eastAsia="Times New Roman" w:hAnsi="Times New Roman"/>
          <w:sz w:val="19"/>
          <w:szCs w:val="19"/>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86" w:lineRule="exact"/>
        <w:rPr>
          <w:sz w:val="20"/>
          <w:szCs w:val="20"/>
          <w:color w:val="auto"/>
        </w:rPr>
      </w:pPr>
    </w:p>
    <w:p>
      <w:pPr>
        <w:ind w:left="700" w:hanging="691"/>
        <w:spacing w:after="0"/>
        <w:tabs>
          <w:tab w:leader="none" w:pos="70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317"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ASC Topic 820, Fair Value Measurements and Disclosures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220" w:lineRule="exact"/>
        <w:rPr>
          <w:sz w:val="20"/>
          <w:szCs w:val="20"/>
          <w:color w:val="auto"/>
        </w:rPr>
      </w:pPr>
    </w:p>
    <w:p>
      <w:pPr>
        <w:ind w:left="1400" w:hanging="868"/>
        <w:spacing w:after="0" w:line="337" w:lineRule="auto"/>
        <w:tabs>
          <w:tab w:leader="none" w:pos="1380" w:val="left"/>
        </w:tabs>
        <w:rPr>
          <w:sz w:val="20"/>
          <w:szCs w:val="20"/>
          <w:color w:val="auto"/>
        </w:rPr>
      </w:pPr>
      <w:r>
        <w:rPr>
          <w:rFonts w:ascii="Times New Roman" w:cs="Times New Roman" w:eastAsia="Times New Roman" w:hAnsi="Times New Roman"/>
          <w:sz w:val="19"/>
          <w:szCs w:val="19"/>
          <w:color w:val="auto"/>
        </w:rPr>
        <w:t>Level 1:</w:t>
        <w:tab/>
        <w:t>Unadjusted quoted prices in active markets that are accessible at the measurement date for identical, unrestricted assets or liabilities.</w:t>
      </w:r>
    </w:p>
    <w:p>
      <w:pPr>
        <w:spacing w:after="0" w:line="185" w:lineRule="exact"/>
        <w:rPr>
          <w:sz w:val="20"/>
          <w:szCs w:val="20"/>
          <w:color w:val="auto"/>
        </w:rPr>
      </w:pPr>
    </w:p>
    <w:p>
      <w:pPr>
        <w:ind w:left="1400" w:hanging="868"/>
        <w:spacing w:after="0" w:line="337" w:lineRule="auto"/>
        <w:tabs>
          <w:tab w:leader="none" w:pos="1380" w:val="left"/>
        </w:tabs>
        <w:rPr>
          <w:sz w:val="20"/>
          <w:szCs w:val="20"/>
          <w:color w:val="auto"/>
        </w:rPr>
      </w:pPr>
      <w:r>
        <w:rPr>
          <w:rFonts w:ascii="Times New Roman" w:cs="Times New Roman" w:eastAsia="Times New Roman" w:hAnsi="Times New Roman"/>
          <w:sz w:val="19"/>
          <w:szCs w:val="19"/>
          <w:color w:val="auto"/>
        </w:rPr>
        <w:t>Level 2:</w:t>
        <w:tab/>
        <w:t>Quoted prices for similar assets or liabilities in active markets; or observable prices that are based on observable market data, based on directly or indirectly market-corroborated inputs.</w:t>
      </w:r>
    </w:p>
    <w:p>
      <w:pPr>
        <w:spacing w:after="0" w:line="185" w:lineRule="exact"/>
        <w:rPr>
          <w:sz w:val="20"/>
          <w:szCs w:val="20"/>
          <w:color w:val="auto"/>
        </w:rPr>
      </w:pPr>
    </w:p>
    <w:p>
      <w:pPr>
        <w:ind w:left="1400" w:hanging="868"/>
        <w:spacing w:after="0" w:line="337" w:lineRule="auto"/>
        <w:tabs>
          <w:tab w:leader="none" w:pos="1380" w:val="left"/>
        </w:tabs>
        <w:rPr>
          <w:sz w:val="20"/>
          <w:szCs w:val="20"/>
          <w:color w:val="auto"/>
        </w:rPr>
      </w:pPr>
      <w:r>
        <w:rPr>
          <w:rFonts w:ascii="Times New Roman" w:cs="Times New Roman" w:eastAsia="Times New Roman" w:hAnsi="Times New Roman"/>
          <w:sz w:val="19"/>
          <w:szCs w:val="19"/>
          <w:color w:val="auto"/>
        </w:rPr>
        <w:t>Level 3:</w:t>
        <w:tab/>
        <w:t>Unobservable inputs that are supported by little or no market activity, and are developed based on the best information available given the circumstances.</w:t>
      </w:r>
    </w:p>
    <w:p>
      <w:pPr>
        <w:spacing w:after="0" w:line="185" w:lineRule="exact"/>
        <w:rPr>
          <w:sz w:val="20"/>
          <w:szCs w:val="20"/>
          <w:color w:val="auto"/>
        </w:rPr>
      </w:pPr>
    </w:p>
    <w:p>
      <w:pPr>
        <w:ind w:left="180" w:firstLine="347"/>
        <w:spacing w:after="0" w:line="337" w:lineRule="auto"/>
        <w:rPr>
          <w:sz w:val="20"/>
          <w:szCs w:val="20"/>
          <w:color w:val="auto"/>
        </w:rPr>
      </w:pPr>
      <w:r>
        <w:rPr>
          <w:rFonts w:ascii="Times New Roman" w:cs="Times New Roman" w:eastAsia="Times New Roman" w:hAnsi="Times New Roman"/>
          <w:sz w:val="19"/>
          <w:szCs w:val="19"/>
          <w:color w:val="auto"/>
        </w:rPr>
        <w:t>No financial assets or liabilities were measured at fair value based upon the ASC 820 fair value hierarchy as of December 31, 2025 and 2024.</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The carrying amount of certain financial instruments approximates fair value due to their short-term, highly liquid nature.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These instruments include cash and cash equivalents, accounts receivable, accounts payable, and accrued expenses.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Assets Measured and Recorded at Fair Value on a Nonrecurring Basis</w:t>
      </w:r>
    </w:p>
    <w:p>
      <w:pPr>
        <w:spacing w:after="0" w:line="313"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During 2025, there was no impairment of the Company's non-financial assets noted. During 2024, the Company recorded an impairment charge of $1,137 to goodwill and long-lived assets. The Company does not have any liabilities that are recorded at fair value on a nonrecurring basis.</w:t>
      </w:r>
    </w:p>
    <w:p>
      <w:pPr>
        <w:sectPr>
          <w:pgSz w:w="11880" w:h="15480" w:orient="portrait"/>
          <w:cols w:equalWidth="0" w:num="1">
            <w:col w:w="9920"/>
          </w:cols>
          <w:pgMar w:left="980" w:top="334" w:right="980" w:bottom="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0" w:orient="portrait"/>
          <w:cols w:equalWidth="0" w:num="1">
            <w:col w:w="9920"/>
          </w:cols>
          <w:pgMar w:left="980" w:top="334" w:right="98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hanging="691"/>
        <w:spacing w:after="0"/>
        <w:tabs>
          <w:tab w:leader="none" w:pos="700"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Legal Matters</w:t>
      </w:r>
    </w:p>
    <w:p>
      <w:pPr>
        <w:spacing w:after="0" w:line="317"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10" w:lineRule="exact"/>
        <w:rPr>
          <w:sz w:val="20"/>
          <w:szCs w:val="20"/>
          <w:color w:val="auto"/>
        </w:rPr>
      </w:pPr>
    </w:p>
    <w:p>
      <w:pPr>
        <w:ind w:left="540" w:hanging="531"/>
        <w:spacing w:after="0"/>
        <w:tabs>
          <w:tab w:leader="none" w:pos="540"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Leases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Lessee</w:t>
      </w:r>
    </w:p>
    <w:p>
      <w:pPr>
        <w:spacing w:after="0" w:line="311" w:lineRule="exact"/>
        <w:rPr>
          <w:sz w:val="20"/>
          <w:szCs w:val="20"/>
          <w:color w:val="auto"/>
        </w:rPr>
      </w:pPr>
    </w:p>
    <w:p>
      <w:pPr>
        <w:jc w:val="both"/>
        <w:ind w:firstLine="521"/>
        <w:spacing w:after="0" w:line="295" w:lineRule="auto"/>
        <w:rPr>
          <w:sz w:val="20"/>
          <w:szCs w:val="20"/>
          <w:color w:val="auto"/>
        </w:rPr>
      </w:pPr>
      <w:r>
        <w:rPr>
          <w:rFonts w:ascii="Times New Roman" w:cs="Times New Roman" w:eastAsia="Times New Roman" w:hAnsi="Times New Roman"/>
          <w:sz w:val="19"/>
          <w:szCs w:val="19"/>
          <w:color w:val="auto"/>
        </w:rPr>
        <w:t>The Company has operating leases for office facilities, equipment, and satellite service capacity and related equipment. Lease expense was $970 and $1,297 for 2025 and 2024, respectively. Short-term operating lease costs were $166 and $95 for 2025 and 2024, respectively. Maturities of lease liabilities as of December 31, 2025 under operating leases having an initial or remaining non-cancelable term of one year or more are as follows:</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Years ending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74"/>
        </w:trPr>
        <w:tc>
          <w:tcPr>
            <w:tcW w:w="23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5660" w:type="dxa"/>
            <w:vAlign w:val="bottom"/>
            <w:shd w:val="clear" w:color="auto" w:fill="E6E6E6"/>
          </w:tcPr>
          <w:p>
            <w:pPr>
              <w:spacing w:after="0"/>
              <w:rPr>
                <w:sz w:val="23"/>
                <w:szCs w:val="23"/>
                <w:color w:val="auto"/>
              </w:rPr>
            </w:pPr>
          </w:p>
        </w:tc>
        <w:tc>
          <w:tcPr>
            <w:tcW w:w="700" w:type="dxa"/>
            <w:vAlign w:val="bottom"/>
            <w:shd w:val="clear" w:color="auto" w:fill="E6E6E6"/>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741</w:t>
            </w:r>
          </w:p>
        </w:tc>
        <w:tc>
          <w:tcPr>
            <w:tcW w:w="180" w:type="dxa"/>
            <w:vAlign w:val="bottom"/>
            <w:shd w:val="clear" w:color="auto" w:fill="E6E6E6"/>
          </w:tcPr>
          <w:p>
            <w:pPr>
              <w:spacing w:after="0"/>
              <w:rPr>
                <w:sz w:val="23"/>
                <w:szCs w:val="23"/>
                <w:color w:val="auto"/>
              </w:rPr>
            </w:pPr>
          </w:p>
        </w:tc>
      </w:tr>
      <w:tr>
        <w:trPr>
          <w:trHeight w:val="305"/>
        </w:trPr>
        <w:tc>
          <w:tcPr>
            <w:tcW w:w="23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5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841</w:t>
            </w:r>
          </w:p>
        </w:tc>
        <w:tc>
          <w:tcPr>
            <w:tcW w:w="180" w:type="dxa"/>
            <w:vAlign w:val="bottom"/>
          </w:tcPr>
          <w:p>
            <w:pPr>
              <w:spacing w:after="0"/>
              <w:rPr>
                <w:sz w:val="24"/>
                <w:szCs w:val="24"/>
                <w:color w:val="auto"/>
              </w:rPr>
            </w:pPr>
          </w:p>
        </w:tc>
      </w:tr>
      <w:tr>
        <w:trPr>
          <w:trHeight w:val="303"/>
        </w:trPr>
        <w:tc>
          <w:tcPr>
            <w:tcW w:w="230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5660" w:type="dxa"/>
            <w:vAlign w:val="bottom"/>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759</w:t>
            </w:r>
          </w:p>
        </w:tc>
        <w:tc>
          <w:tcPr>
            <w:tcW w:w="180" w:type="dxa"/>
            <w:vAlign w:val="bottom"/>
            <w:shd w:val="clear" w:color="auto" w:fill="E6E6E6"/>
          </w:tcPr>
          <w:p>
            <w:pPr>
              <w:spacing w:after="0"/>
              <w:rPr>
                <w:sz w:val="24"/>
                <w:szCs w:val="24"/>
                <w:color w:val="auto"/>
              </w:rPr>
            </w:pPr>
          </w:p>
        </w:tc>
      </w:tr>
      <w:tr>
        <w:trPr>
          <w:trHeight w:val="330"/>
        </w:trPr>
        <w:tc>
          <w:tcPr>
            <w:tcW w:w="60" w:type="dxa"/>
            <w:vAlign w:val="bottom"/>
            <w:tcBorders>
              <w:bottom w:val="single" w:sz="8" w:color="E6E6E6"/>
            </w:tcBorders>
          </w:tcPr>
          <w:p>
            <w:pPr>
              <w:spacing w:after="0"/>
              <w:rPr>
                <w:sz w:val="24"/>
                <w:szCs w:val="24"/>
                <w:color w:val="auto"/>
              </w:rPr>
            </w:pPr>
          </w:p>
        </w:tc>
        <w:tc>
          <w:tcPr>
            <w:tcW w:w="79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9"/>
                <w:szCs w:val="19"/>
                <w:color w:val="auto"/>
              </w:rPr>
              <w:t>2029 and thereafter</w:t>
            </w: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2,936</w:t>
            </w:r>
          </w:p>
        </w:tc>
        <w:tc>
          <w:tcPr>
            <w:tcW w:w="180" w:type="dxa"/>
            <w:vAlign w:val="bottom"/>
            <w:tcBorders>
              <w:bottom w:val="single" w:sz="8" w:color="auto"/>
            </w:tcBorders>
          </w:tcPr>
          <w:p>
            <w:pPr>
              <w:spacing w:after="0"/>
              <w:rPr>
                <w:sz w:val="24"/>
                <w:szCs w:val="24"/>
                <w:color w:val="auto"/>
              </w:rPr>
            </w:pPr>
          </w:p>
        </w:tc>
      </w:tr>
      <w:tr>
        <w:trPr>
          <w:trHeight w:val="263"/>
        </w:trPr>
        <w:tc>
          <w:tcPr>
            <w:tcW w:w="60" w:type="dxa"/>
            <w:vAlign w:val="bottom"/>
            <w:tcBorders>
              <w:top w:val="single" w:sz="8" w:color="E6E6E6"/>
            </w:tcBorders>
            <w:shd w:val="clear" w:color="auto" w:fill="E6E6E6"/>
          </w:tcPr>
          <w:p>
            <w:pPr>
              <w:spacing w:after="0"/>
              <w:rPr>
                <w:sz w:val="22"/>
                <w:szCs w:val="22"/>
                <w:color w:val="auto"/>
              </w:rPr>
            </w:pPr>
          </w:p>
        </w:tc>
        <w:tc>
          <w:tcPr>
            <w:tcW w:w="7900" w:type="dxa"/>
            <w:vAlign w:val="bottom"/>
            <w:tcBorders>
              <w:top w:val="single" w:sz="8" w:color="E6E6E6"/>
            </w:tcBorders>
            <w:gridSpan w:val="2"/>
            <w:shd w:val="clear" w:color="auto" w:fill="E6E6E6"/>
          </w:tcPr>
          <w:p>
            <w:pPr>
              <w:ind w:left="340"/>
              <w:spacing w:after="0"/>
              <w:rPr>
                <w:sz w:val="20"/>
                <w:szCs w:val="20"/>
                <w:color w:val="auto"/>
              </w:rPr>
            </w:pPr>
            <w:r>
              <w:rPr>
                <w:rFonts w:ascii="Times New Roman" w:cs="Times New Roman" w:eastAsia="Times New Roman" w:hAnsi="Times New Roman"/>
                <w:sz w:val="19"/>
                <w:szCs w:val="19"/>
                <w:color w:val="auto"/>
              </w:rPr>
              <w:t>Total undiscounted lease payments</w:t>
            </w:r>
          </w:p>
        </w:tc>
        <w:tc>
          <w:tcPr>
            <w:tcW w:w="700" w:type="dxa"/>
            <w:vAlign w:val="bottom"/>
            <w:tcBorders>
              <w:top w:val="single" w:sz="8" w:color="E6E6E6"/>
            </w:tcBorders>
            <w:shd w:val="clear" w:color="auto" w:fill="E6E6E6"/>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5,277</w:t>
            </w:r>
          </w:p>
        </w:tc>
        <w:tc>
          <w:tcPr>
            <w:tcW w:w="180" w:type="dxa"/>
            <w:vAlign w:val="bottom"/>
            <w:tcBorders>
              <w:top w:val="single" w:sz="8" w:color="E6E6E6"/>
            </w:tcBorders>
            <w:shd w:val="clear" w:color="auto" w:fill="E6E6E6"/>
          </w:tcPr>
          <w:p>
            <w:pPr>
              <w:spacing w:after="0"/>
              <w:rPr>
                <w:sz w:val="22"/>
                <w:szCs w:val="22"/>
                <w:color w:val="auto"/>
              </w:rPr>
            </w:pPr>
          </w:p>
        </w:tc>
      </w:tr>
      <w:tr>
        <w:trPr>
          <w:trHeight w:val="305"/>
        </w:trPr>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3"/>
        </w:trPr>
        <w:tc>
          <w:tcPr>
            <w:tcW w:w="60" w:type="dxa"/>
            <w:vAlign w:val="bottom"/>
            <w:shd w:val="clear" w:color="auto" w:fill="E6E6E6"/>
          </w:tcPr>
          <w:p>
            <w:pPr>
              <w:spacing w:after="0"/>
              <w:rPr>
                <w:sz w:val="24"/>
                <w:szCs w:val="24"/>
                <w:color w:val="auto"/>
              </w:rPr>
            </w:pPr>
          </w:p>
        </w:tc>
        <w:tc>
          <w:tcPr>
            <w:tcW w:w="7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Less amount representing interest</w:t>
            </w:r>
          </w:p>
        </w:tc>
        <w:tc>
          <w:tcPr>
            <w:tcW w:w="700" w:type="dxa"/>
            <w:vAlign w:val="bottom"/>
            <w:tcBorders>
              <w:bottom w:val="single" w:sz="8" w:color="auto"/>
            </w:tcBorders>
            <w:shd w:val="clear" w:color="auto" w:fill="E6E6E6"/>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(889)</w:t>
            </w:r>
          </w:p>
        </w:tc>
        <w:tc>
          <w:tcPr>
            <w:tcW w:w="180" w:type="dxa"/>
            <w:vAlign w:val="bottom"/>
            <w:tcBorders>
              <w:bottom w:val="single" w:sz="8" w:color="auto"/>
            </w:tcBorders>
            <w:shd w:val="clear" w:color="auto" w:fill="E6E6E6"/>
          </w:tcPr>
          <w:p>
            <w:pPr>
              <w:spacing w:after="0"/>
              <w:rPr>
                <w:sz w:val="24"/>
                <w:szCs w:val="24"/>
                <w:color w:val="auto"/>
              </w:rPr>
            </w:pPr>
          </w:p>
        </w:tc>
      </w:tr>
      <w:tr>
        <w:trPr>
          <w:trHeight w:val="285"/>
        </w:trPr>
        <w:tc>
          <w:tcPr>
            <w:tcW w:w="60" w:type="dxa"/>
            <w:vAlign w:val="bottom"/>
          </w:tcPr>
          <w:p>
            <w:pPr>
              <w:spacing w:after="0"/>
              <w:rPr>
                <w:sz w:val="24"/>
                <w:szCs w:val="24"/>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auto"/>
              </w:rPr>
              <w:t>Present value of operating lease liabilities</w:t>
            </w:r>
          </w:p>
        </w:tc>
        <w:tc>
          <w:tcPr>
            <w:tcW w:w="700" w:type="dxa"/>
            <w:vAlign w:val="bottom"/>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4,388</w:t>
            </w:r>
          </w:p>
        </w:tc>
        <w:tc>
          <w:tcPr>
            <w:tcW w:w="180" w:type="dxa"/>
            <w:vAlign w:val="bottom"/>
          </w:tcPr>
          <w:p>
            <w:pPr>
              <w:spacing w:after="0"/>
              <w:rPr>
                <w:sz w:val="24"/>
                <w:szCs w:val="24"/>
                <w:color w:val="auto"/>
              </w:rPr>
            </w:pPr>
          </w:p>
        </w:tc>
      </w:tr>
      <w:tr>
        <w:trPr>
          <w:trHeight w:val="303"/>
        </w:trPr>
        <w:tc>
          <w:tcPr>
            <w:tcW w:w="60" w:type="dxa"/>
            <w:vAlign w:val="bottom"/>
            <w:shd w:val="clear" w:color="auto" w:fill="E6E6E6"/>
          </w:tcPr>
          <w:p>
            <w:pPr>
              <w:spacing w:after="0"/>
              <w:rPr>
                <w:sz w:val="24"/>
                <w:szCs w:val="24"/>
                <w:color w:val="auto"/>
              </w:rPr>
            </w:pPr>
          </w:p>
        </w:tc>
        <w:tc>
          <w:tcPr>
            <w:tcW w:w="7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Less current installments of obligation under current-operating lease liabilities</w:t>
            </w:r>
          </w:p>
        </w:tc>
        <w:tc>
          <w:tcPr>
            <w:tcW w:w="700" w:type="dxa"/>
            <w:vAlign w:val="bottom"/>
            <w:tcBorders>
              <w:bottom w:val="single" w:sz="8" w:color="auto"/>
            </w:tcBorders>
            <w:shd w:val="clear" w:color="auto" w:fill="E6E6E6"/>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547</w:t>
            </w:r>
          </w:p>
        </w:tc>
        <w:tc>
          <w:tcPr>
            <w:tcW w:w="180" w:type="dxa"/>
            <w:vAlign w:val="bottom"/>
            <w:tcBorders>
              <w:bottom w:val="single" w:sz="8" w:color="auto"/>
            </w:tcBorders>
            <w:shd w:val="clear" w:color="auto" w:fill="E6E6E6"/>
          </w:tcPr>
          <w:p>
            <w:pPr>
              <w:spacing w:after="0"/>
              <w:rPr>
                <w:sz w:val="24"/>
                <w:szCs w:val="24"/>
                <w:color w:val="auto"/>
              </w:rPr>
            </w:pPr>
          </w:p>
        </w:tc>
      </w:tr>
      <w:tr>
        <w:trPr>
          <w:trHeight w:val="325"/>
        </w:trPr>
        <w:tc>
          <w:tcPr>
            <w:tcW w:w="60" w:type="dxa"/>
            <w:vAlign w:val="bottom"/>
            <w:tcBorders>
              <w:bottom w:val="single" w:sz="8" w:color="E6E6E6"/>
            </w:tcBorders>
          </w:tcPr>
          <w:p>
            <w:pPr>
              <w:spacing w:after="0"/>
              <w:rPr>
                <w:sz w:val="24"/>
                <w:szCs w:val="24"/>
                <w:color w:val="auto"/>
              </w:rPr>
            </w:pPr>
          </w:p>
        </w:tc>
        <w:tc>
          <w:tcPr>
            <w:tcW w:w="7900" w:type="dxa"/>
            <w:vAlign w:val="bottom"/>
            <w:tcBorders>
              <w:bottom w:val="single" w:sz="8" w:color="E6E6E6"/>
            </w:tcBorders>
            <w:gridSpan w:val="2"/>
          </w:tcPr>
          <w:p>
            <w:pPr>
              <w:ind w:left="340"/>
              <w:spacing w:after="0"/>
              <w:rPr>
                <w:sz w:val="20"/>
                <w:szCs w:val="20"/>
                <w:color w:val="auto"/>
              </w:rPr>
            </w:pPr>
            <w:r>
              <w:rPr>
                <w:rFonts w:ascii="Times New Roman" w:cs="Times New Roman" w:eastAsia="Times New Roman" w:hAnsi="Times New Roman"/>
                <w:sz w:val="19"/>
                <w:szCs w:val="19"/>
                <w:color w:val="auto"/>
              </w:rPr>
              <w:t>Obligations under long-term operating lease liabilities, excluding current installments</w:t>
            </w:r>
          </w:p>
        </w:tc>
        <w:tc>
          <w:tcPr>
            <w:tcW w:w="7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3,841</w:t>
            </w:r>
          </w:p>
        </w:tc>
        <w:tc>
          <w:tcPr>
            <w:tcW w:w="180" w:type="dxa"/>
            <w:vAlign w:val="bottom"/>
            <w:tcBorders>
              <w:bottom w:val="single" w:sz="8" w:color="auto"/>
            </w:tcBorders>
          </w:tcPr>
          <w:p>
            <w:pPr>
              <w:spacing w:after="0"/>
              <w:rPr>
                <w:sz w:val="24"/>
                <w:szCs w:val="24"/>
                <w:color w:val="auto"/>
              </w:rPr>
            </w:pPr>
          </w:p>
        </w:tc>
      </w:tr>
      <w:tr>
        <w:trPr>
          <w:trHeight w:val="243"/>
        </w:trPr>
        <w:tc>
          <w:tcPr>
            <w:tcW w:w="60" w:type="dxa"/>
            <w:vAlign w:val="bottom"/>
            <w:shd w:val="clear" w:color="auto" w:fill="E6E6E6"/>
          </w:tcPr>
          <w:p>
            <w:pPr>
              <w:spacing w:after="0"/>
              <w:rPr>
                <w:sz w:val="21"/>
                <w:szCs w:val="21"/>
                <w:color w:val="auto"/>
              </w:rPr>
            </w:pPr>
          </w:p>
        </w:tc>
        <w:tc>
          <w:tcPr>
            <w:tcW w:w="2240" w:type="dxa"/>
            <w:vAlign w:val="bottom"/>
            <w:shd w:val="clear" w:color="auto" w:fill="E6E6E6"/>
          </w:tcPr>
          <w:p>
            <w:pPr>
              <w:spacing w:after="0"/>
              <w:rPr>
                <w:sz w:val="21"/>
                <w:szCs w:val="21"/>
                <w:color w:val="auto"/>
              </w:rPr>
            </w:pPr>
          </w:p>
        </w:tc>
        <w:tc>
          <w:tcPr>
            <w:tcW w:w="566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r>
      <w:tr>
        <w:trPr>
          <w:trHeight w:val="305"/>
        </w:trPr>
        <w:tc>
          <w:tcPr>
            <w:tcW w:w="6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Weighted-average remaining lease term - operating leases (years)</w:t>
            </w:r>
          </w:p>
        </w:tc>
        <w:tc>
          <w:tcPr>
            <w:tcW w:w="7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303"/>
        </w:trPr>
        <w:tc>
          <w:tcPr>
            <w:tcW w:w="60" w:type="dxa"/>
            <w:vAlign w:val="bottom"/>
            <w:shd w:val="clear" w:color="auto" w:fill="E6E6E6"/>
          </w:tcPr>
          <w:p>
            <w:pPr>
              <w:spacing w:after="0"/>
              <w:rPr>
                <w:sz w:val="24"/>
                <w:szCs w:val="24"/>
                <w:color w:val="auto"/>
              </w:rPr>
            </w:pPr>
          </w:p>
        </w:tc>
        <w:tc>
          <w:tcPr>
            <w:tcW w:w="79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9"/>
                <w:szCs w:val="19"/>
                <w:color w:val="auto"/>
              </w:rPr>
              <w:t>Weighted-average discount rate - operating leases</w:t>
            </w:r>
          </w:p>
        </w:tc>
        <w:tc>
          <w:tcPr>
            <w:tcW w:w="700" w:type="dxa"/>
            <w:vAlign w:val="bottom"/>
            <w:shd w:val="clear" w:color="auto" w:fill="E6E6E6"/>
          </w:tcPr>
          <w:p>
            <w:pPr>
              <w:spacing w:after="0"/>
              <w:rPr>
                <w:sz w:val="24"/>
                <w:szCs w:val="24"/>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5.50</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w w:val="88"/>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-765810</wp:posOffset>
                </wp:positionV>
                <wp:extent cx="504634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6345" cy="4763"/>
                        </a:xfrm>
                        <a:prstGeom prst="line">
                          <a:avLst/>
                        </a:prstGeom>
                        <a:solidFill>
                          <a:srgbClr val="FFFFFF"/>
                        </a:solidFill>
                        <a:ln w="12509">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60.2999pt" to="397.8pt,-60.2999pt" o:allowincell="f" strokecolor="#FFFFFF" strokeweight="0.985pt"/>
            </w:pict>
          </mc:Fallback>
        </mc:AlternateContent>
        <mc:AlternateContent>
          <mc:Choice Requires="wps">
            <w:drawing>
              <wp:anchor simplePos="0" relativeHeight="251657728" behindDoc="1" locked="0" layoutInCell="0" allowOverlap="1">
                <wp:simplePos x="0" y="0"/>
                <wp:positionH relativeFrom="column">
                  <wp:posOffset>5052060</wp:posOffset>
                </wp:positionH>
                <wp:positionV relativeFrom="paragraph">
                  <wp:posOffset>-759460</wp:posOffset>
                </wp:positionV>
                <wp:extent cx="12223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237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8pt,-59.7999pt" to="494.05pt,-59.7999pt" o:allowincell="f" strokecolor="#FFFFFF" strokeweight="0.058pt"/>
            </w:pict>
          </mc:Fallback>
        </mc:AlternateConten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880" w:h="15480" w:orient="portrait"/>
          <w:cols w:equalWidth="0" w:num="1">
            <w:col w:w="9920"/>
          </w:cols>
          <w:pgMar w:left="980" w:top="334" w:right="98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jc w:val="both"/>
        <w:ind w:firstLine="522"/>
        <w:spacing w:after="0" w:line="301" w:lineRule="auto"/>
        <w:rPr>
          <w:sz w:val="20"/>
          <w:szCs w:val="20"/>
          <w:color w:val="auto"/>
        </w:rPr>
      </w:pPr>
      <w:r>
        <w:rPr>
          <w:rFonts w:ascii="Times New Roman" w:cs="Times New Roman" w:eastAsia="Times New Roman" w:hAnsi="Times New Roman"/>
          <w:sz w:val="19"/>
          <w:szCs w:val="19"/>
          <w:color w:val="auto"/>
        </w:rPr>
        <w:t>On July 23, 2025, the Company entered into a new lease agreement for approximately 32,000 square feet of office and warehouse space in Bristol, Rhode Island. The Company currently plans to migrate its Rhode Island operations to this leased facility in the spring of 2026, at which point its costs of sales and operational expenditures will include lease expense at the rate of approximately $0.6 million annually. The lease agreement is for a term of 87 months with an option to extend the lease for an additional 10 years. This lease agreement resulted in a right of use asset and operating lease liabilities of approximately $3,600 as of December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Lessor</w:t>
      </w:r>
    </w:p>
    <w:p>
      <w:pPr>
        <w:spacing w:after="0" w:line="311"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The Company enters into leases with certain customers primarily for the TracPhone and TracNet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220" w:lineRule="exact"/>
        <w:rPr>
          <w:sz w:val="20"/>
          <w:szCs w:val="20"/>
          <w:color w:val="auto"/>
        </w:rPr>
      </w:pPr>
    </w:p>
    <w:p>
      <w:pPr>
        <w:jc w:val="both"/>
        <w:ind w:firstLine="521"/>
        <w:spacing w:after="0" w:line="303" w:lineRule="auto"/>
        <w:rPr>
          <w:sz w:val="20"/>
          <w:szCs w:val="20"/>
          <w:color w:val="auto"/>
        </w:rPr>
      </w:pPr>
      <w:r>
        <w:rPr>
          <w:rFonts w:ascii="Times New Roman" w:cs="Times New Roman" w:eastAsia="Times New Roman" w:hAnsi="Times New Roman"/>
          <w:sz w:val="19"/>
          <w:szCs w:val="19"/>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219"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The current portion of the net investment in these leases was $2,360 and $3,021 as of December 31, 2025 and 2024, respectively, and the non-current portion of the net investment in these leases was $2,237 and $3,145 as of December 31, 2025 and 2024, respectively. The current portion of the net investment in the leases is included in accounts receivable, net of allowance for credit losses on the accompanying consolidated balance sheets and the non-current portion of the net investment in these leases is included in other non-current assets on the accompanying consolidated balance sheets. Interest income from sales-type leases was $398 and $463 during 2025 and 2024, respectively.</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9"/>
                <w:szCs w:val="19"/>
                <w:color w:val="auto"/>
              </w:rPr>
              <w:t>The future undiscounted cash flows from these leases as of December 31, 2025 are:</w:t>
            </w: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25"/>
        </w:trPr>
        <w:tc>
          <w:tcPr>
            <w:tcW w:w="7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03"/>
        </w:trPr>
        <w:tc>
          <w:tcPr>
            <w:tcW w:w="79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20" w:type="dxa"/>
            <w:vAlign w:val="bottom"/>
            <w:shd w:val="clear" w:color="auto" w:fill="E6E6E6"/>
          </w:tcPr>
          <w:p>
            <w:pPr>
              <w:spacing w:after="0"/>
              <w:rPr>
                <w:sz w:val="24"/>
                <w:szCs w:val="24"/>
                <w:color w:val="auto"/>
              </w:rPr>
            </w:pPr>
          </w:p>
        </w:tc>
        <w:tc>
          <w:tcPr>
            <w:tcW w:w="780" w:type="dxa"/>
            <w:vAlign w:val="bottom"/>
            <w:shd w:val="clear" w:color="auto" w:fill="E6E6E6"/>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2,579</w:t>
            </w:r>
          </w:p>
        </w:tc>
      </w:tr>
      <w:tr>
        <w:trPr>
          <w:trHeight w:val="305"/>
        </w:trPr>
        <w:tc>
          <w:tcPr>
            <w:tcW w:w="7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1,559</w:t>
            </w:r>
          </w:p>
        </w:tc>
      </w:tr>
      <w:tr>
        <w:trPr>
          <w:trHeight w:val="303"/>
        </w:trPr>
        <w:tc>
          <w:tcPr>
            <w:tcW w:w="79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2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661</w:t>
            </w:r>
          </w:p>
        </w:tc>
      </w:tr>
      <w:tr>
        <w:trPr>
          <w:trHeight w:val="305"/>
        </w:trPr>
        <w:tc>
          <w:tcPr>
            <w:tcW w:w="79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w:t>
            </w:r>
          </w:p>
        </w:tc>
      </w:tr>
      <w:tr>
        <w:trPr>
          <w:trHeight w:val="303"/>
        </w:trPr>
        <w:tc>
          <w:tcPr>
            <w:tcW w:w="79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20" w:type="dxa"/>
            <w:vAlign w:val="bottom"/>
            <w:shd w:val="clear" w:color="auto" w:fill="E6E6E6"/>
          </w:tcPr>
          <w:p>
            <w:pPr>
              <w:spacing w:after="0"/>
              <w:rPr>
                <w:sz w:val="24"/>
                <w:szCs w:val="24"/>
                <w:color w:val="auto"/>
              </w:rPr>
            </w:pPr>
          </w:p>
        </w:tc>
        <w:tc>
          <w:tcPr>
            <w:tcW w:w="78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85"/>
        </w:trPr>
        <w:tc>
          <w:tcPr>
            <w:tcW w:w="79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Total undiscounted cash flows</w:t>
            </w:r>
          </w:p>
        </w:tc>
        <w:tc>
          <w:tcPr>
            <w:tcW w:w="780" w:type="dxa"/>
            <w:vAlign w:val="bottom"/>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4,949</w:t>
            </w:r>
          </w:p>
        </w:tc>
      </w:tr>
      <w:tr>
        <w:trPr>
          <w:trHeight w:val="303"/>
        </w:trPr>
        <w:tc>
          <w:tcPr>
            <w:tcW w:w="794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305"/>
        </w:trPr>
        <w:tc>
          <w:tcPr>
            <w:tcW w:w="7960" w:type="dxa"/>
            <w:vAlign w:val="bottom"/>
            <w:tcBorders>
              <w:bottom w:val="single" w:sz="8" w:color="E6E6E6"/>
            </w:tcBorders>
            <w:gridSpan w:val="2"/>
          </w:tcPr>
          <w:p>
            <w:pPr>
              <w:ind w:left="60"/>
              <w:spacing w:after="0"/>
              <w:rPr>
                <w:sz w:val="20"/>
                <w:szCs w:val="20"/>
                <w:color w:val="auto"/>
              </w:rPr>
            </w:pPr>
            <w:r>
              <w:rPr>
                <w:rFonts w:ascii="Times New Roman" w:cs="Times New Roman" w:eastAsia="Times New Roman" w:hAnsi="Times New Roman"/>
                <w:sz w:val="19"/>
                <w:szCs w:val="19"/>
                <w:color w:val="auto"/>
              </w:rPr>
              <w:t>Present value of lease payments</w:t>
            </w:r>
          </w:p>
        </w:tc>
        <w:tc>
          <w:tcPr>
            <w:tcW w:w="7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4,597</w:t>
            </w:r>
          </w:p>
        </w:tc>
      </w:tr>
      <w:tr>
        <w:trPr>
          <w:trHeight w:val="285"/>
        </w:trPr>
        <w:tc>
          <w:tcPr>
            <w:tcW w:w="79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Difference between undiscounted cash flows and discounted cash flows</w:t>
            </w:r>
          </w:p>
        </w:tc>
        <w:tc>
          <w:tcPr>
            <w:tcW w:w="780" w:type="dxa"/>
            <w:vAlign w:val="bottom"/>
            <w:shd w:val="clear" w:color="auto" w:fill="E6E6E6"/>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352</w:t>
            </w: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920"/>
          </w:cols>
          <w:pgMar w:left="980" w:top="334" w:right="980" w:bottom="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2" w:lineRule="exact"/>
        <w:rPr>
          <w:sz w:val="20"/>
          <w:szCs w:val="20"/>
          <w:color w:val="auto"/>
        </w:rPr>
      </w:pPr>
    </w:p>
    <w:p>
      <w:pPr>
        <w:ind w:left="700" w:hanging="691"/>
        <w:spacing w:after="0"/>
        <w:tabs>
          <w:tab w:leader="none" w:pos="700"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Restructuring</w:t>
      </w:r>
    </w:p>
    <w:p>
      <w:pPr>
        <w:spacing w:after="0" w:line="317"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26"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the Middletown, Rhode Island location until the Company's anticipated relocation in the spring of 2026.</w:t>
      </w:r>
    </w:p>
    <w:p>
      <w:pPr>
        <w:spacing w:after="0" w:line="220" w:lineRule="exact"/>
        <w:rPr>
          <w:sz w:val="20"/>
          <w:szCs w:val="20"/>
          <w:color w:val="auto"/>
        </w:rPr>
      </w:pPr>
    </w:p>
    <w:p>
      <w:pPr>
        <w:jc w:val="both"/>
        <w:ind w:firstLine="521"/>
        <w:spacing w:after="0" w:line="298" w:lineRule="auto"/>
        <w:rPr>
          <w:sz w:val="20"/>
          <w:szCs w:val="20"/>
          <w:color w:val="auto"/>
        </w:rPr>
      </w:pPr>
      <w:r>
        <w:rPr>
          <w:rFonts w:ascii="Times New Roman" w:cs="Times New Roman" w:eastAsia="Times New Roman" w:hAnsi="Times New Roman"/>
          <w:sz w:val="19"/>
          <w:szCs w:val="19"/>
          <w:color w:val="auto"/>
        </w:rPr>
        <w:t>As part of this restructuring, the Company reduced its headcount by approximately 75 employees, or approximately 20% of its total workforce as of the time the Company announced the restructuring. In 2024, the Company incurred aggregate severance charges of approximately $3.9 million, consisting of approximately $3.6 million of cash charges and approximately $0.3 million of non-cash charges arising from pre-existing contractual obligations to accelerate vesting of certain outstanding equity compensation awards. For the aggregate severance charges of approximately $3.9 million, the Company recorded in its consolidated statement of operations $0.9 million in cost of product sales, $1.4 million in research and development, $0.7 million in sales, marketing and support, and $0.8 million in general and administrative. The Company did not incur restructuring charges in 2025 related to the staged wind-down of the Company's manufacturing activities.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920"/>
          </w:cols>
          <w:pgMar w:left="980" w:top="334" w:right="98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2" w:lineRule="exact"/>
        <w:rPr>
          <w:sz w:val="20"/>
          <w:szCs w:val="20"/>
          <w:color w:val="auto"/>
        </w:rPr>
      </w:pPr>
    </w:p>
    <w:p>
      <w:pPr>
        <w:ind w:left="700" w:hanging="691"/>
        <w:spacing w:after="0"/>
        <w:tabs>
          <w:tab w:leader="none" w:pos="70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Segment Information</w:t>
      </w:r>
    </w:p>
    <w:p>
      <w:pPr>
        <w:spacing w:after="0" w:line="288" w:lineRule="exact"/>
        <w:rPr>
          <w:sz w:val="20"/>
          <w:szCs w:val="20"/>
          <w:color w:val="auto"/>
        </w:rPr>
      </w:pPr>
    </w:p>
    <w:p>
      <w:pPr>
        <w:jc w:val="both"/>
        <w:ind w:firstLine="521"/>
        <w:spacing w:after="0" w:line="307" w:lineRule="auto"/>
        <w:rPr>
          <w:sz w:val="20"/>
          <w:szCs w:val="20"/>
          <w:color w:val="auto"/>
        </w:rPr>
      </w:pPr>
      <w:r>
        <w:rPr>
          <w:rFonts w:ascii="Times New Roman" w:cs="Times New Roman" w:eastAsia="Times New Roman" w:hAnsi="Times New Roman"/>
          <w:sz w:val="19"/>
          <w:szCs w:val="19"/>
          <w:color w:val="auto"/>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spacing w:after="0" w:line="214"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2025 and 2024 consisted of the following:</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920"/>
          </w:cols>
          <w:pgMar w:left="980" w:top="334" w:right="980" w:bottom="0" w:gutter="0" w:footer="0" w:header="0"/>
          <w:type w:val="continuous"/>
        </w:sectPr>
      </w:pPr>
    </w:p>
    <w:bookmarkStart w:id="82" w:name="page83"/>
    <w:bookmarkEnd w:id="82"/>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r>
      <w:tr>
        <w:trPr>
          <w:trHeight w:val="254"/>
        </w:trPr>
        <w:tc>
          <w:tcPr>
            <w:tcW w:w="7260" w:type="dxa"/>
            <w:vAlign w:val="bottom"/>
            <w:tcBorders>
              <w:bottom w:val="single" w:sz="8" w:color="E6E6E6"/>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9"/>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Sales:</w:t>
            </w:r>
          </w:p>
        </w:tc>
        <w:tc>
          <w:tcPr>
            <w:tcW w:w="180" w:type="dxa"/>
            <w:vAlign w:val="bottom"/>
          </w:tcPr>
          <w:p>
            <w:pPr>
              <w:spacing w:after="0"/>
              <w:rPr>
                <w:sz w:val="23"/>
                <w:szCs w:val="23"/>
                <w:color w:val="auto"/>
              </w:rPr>
            </w:pPr>
          </w:p>
        </w:tc>
        <w:tc>
          <w:tcPr>
            <w:tcW w:w="1140" w:type="dxa"/>
            <w:vAlign w:val="bottom"/>
            <w:tcBorders>
              <w:right w:val="single" w:sz="8" w:color="E6E6E6"/>
            </w:tcBorders>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spacing w:after="0"/>
              <w:rPr>
                <w:sz w:val="23"/>
                <w:szCs w:val="23"/>
                <w:color w:val="auto"/>
              </w:rPr>
            </w:pPr>
          </w:p>
        </w:tc>
      </w:tr>
      <w:tr>
        <w:trPr>
          <w:trHeight w:val="290"/>
        </w:trPr>
        <w:tc>
          <w:tcPr>
            <w:tcW w:w="72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Service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98,407</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96,446</w:t>
            </w:r>
          </w:p>
        </w:tc>
      </w:tr>
      <w:tr>
        <w:trPr>
          <w:trHeight w:val="290"/>
        </w:trPr>
        <w:tc>
          <w:tcPr>
            <w:tcW w:w="7260" w:type="dxa"/>
            <w:vAlign w:val="bottom"/>
            <w:tcBorders>
              <w:right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9"/>
                <w:szCs w:val="19"/>
                <w:color w:val="auto"/>
              </w:rPr>
              <w:t>Product</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12,602</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17,382</w:t>
            </w:r>
          </w:p>
        </w:tc>
      </w:tr>
      <w:tr>
        <w:trPr>
          <w:trHeight w:val="269"/>
        </w:trPr>
        <w:tc>
          <w:tcPr>
            <w:tcW w:w="7260" w:type="dxa"/>
            <w:vAlign w:val="bottom"/>
          </w:tcPr>
          <w:p>
            <w:pPr>
              <w:ind w:left="64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111,009</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113,828</w:t>
            </w:r>
          </w:p>
        </w:tc>
      </w:tr>
      <w:tr>
        <w:trPr>
          <w:trHeight w:val="289"/>
        </w:trPr>
        <w:tc>
          <w:tcPr>
            <w:tcW w:w="7260" w:type="dxa"/>
            <w:vAlign w:val="bottom"/>
            <w:tcBorders>
              <w:right w:val="single" w:sz="8" w:color="E6E6E6"/>
            </w:tcBorders>
            <w:shd w:val="clear" w:color="auto" w:fill="E6E6E6"/>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right w:val="single" w:sz="8" w:color="E6E6E6"/>
            </w:tcBorders>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89"/>
        </w:trPr>
        <w:tc>
          <w:tcPr>
            <w:tcW w:w="7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Cost of service sales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VSAT airtime</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40,977</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52,980</w:t>
            </w:r>
          </w:p>
        </w:tc>
      </w:tr>
      <w:tr>
        <w:trPr>
          <w:trHeight w:val="289"/>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LEO airtime</w:t>
            </w:r>
          </w:p>
        </w:tc>
        <w:tc>
          <w:tcPr>
            <w:tcW w:w="180" w:type="dxa"/>
            <w:vAlign w:val="bottom"/>
          </w:tcPr>
          <w:p>
            <w:pPr>
              <w:spacing w:after="0"/>
              <w:rPr>
                <w:sz w:val="24"/>
                <w:szCs w:val="24"/>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18,919</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4,883</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Other (1)</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E6E6E6"/>
            </w:tcBorders>
          </w:tcPr>
          <w:p>
            <w:pPr>
              <w:jc w:val="right"/>
              <w:ind w:right="43"/>
              <w:spacing w:after="0"/>
              <w:rPr>
                <w:sz w:val="20"/>
                <w:szCs w:val="20"/>
                <w:color w:val="auto"/>
              </w:rPr>
            </w:pPr>
            <w:r>
              <w:rPr>
                <w:rFonts w:ascii="Times New Roman" w:cs="Times New Roman" w:eastAsia="Times New Roman" w:hAnsi="Times New Roman"/>
                <w:sz w:val="19"/>
                <w:szCs w:val="19"/>
                <w:color w:val="auto"/>
              </w:rPr>
              <w:t>3,816</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2,139</w:t>
            </w:r>
          </w:p>
        </w:tc>
      </w:tr>
      <w:tr>
        <w:trPr>
          <w:trHeight w:val="269"/>
        </w:trPr>
        <w:tc>
          <w:tcPr>
            <w:tcW w:w="7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63,712</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60,002</w:t>
            </w:r>
          </w:p>
        </w:tc>
      </w:tr>
      <w:tr>
        <w:trPr>
          <w:trHeight w:val="290"/>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Cost of product sales</w:t>
            </w:r>
          </w:p>
        </w:tc>
        <w:tc>
          <w:tcPr>
            <w:tcW w:w="180" w:type="dxa"/>
            <w:vAlign w:val="bottom"/>
          </w:tcPr>
          <w:p>
            <w:pPr>
              <w:spacing w:after="0"/>
              <w:rPr>
                <w:sz w:val="24"/>
                <w:szCs w:val="24"/>
                <w:color w:val="auto"/>
              </w:rPr>
            </w:pPr>
          </w:p>
        </w:tc>
        <w:tc>
          <w:tcPr>
            <w:tcW w:w="1140" w:type="dxa"/>
            <w:vAlign w:val="bottom"/>
            <w:tcBorders>
              <w:right w:val="single" w:sz="8" w:color="E6E6E6"/>
            </w:tcBorders>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0"/>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VSAT</w:t>
            </w:r>
          </w:p>
        </w:tc>
        <w:tc>
          <w:tcPr>
            <w:tcW w:w="1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1,781</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2,565</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LEO</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43"/>
              <w:spacing w:after="0"/>
              <w:rPr>
                <w:sz w:val="20"/>
                <w:szCs w:val="20"/>
                <w:color w:val="auto"/>
              </w:rPr>
            </w:pPr>
            <w:r>
              <w:rPr>
                <w:rFonts w:ascii="Times New Roman" w:cs="Times New Roman" w:eastAsia="Times New Roman" w:hAnsi="Times New Roman"/>
                <w:sz w:val="19"/>
                <w:szCs w:val="19"/>
                <w:color w:val="auto"/>
              </w:rPr>
              <w:t>5,147</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6,120</w:t>
            </w:r>
          </w:p>
        </w:tc>
      </w:tr>
      <w:tr>
        <w:trPr>
          <w:trHeight w:val="289"/>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TracVision &amp; land mobile</w:t>
            </w:r>
          </w:p>
        </w:tc>
        <w:tc>
          <w:tcPr>
            <w:tcW w:w="1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1,866</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3,301</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Other (2)</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10,481</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6,621</w:t>
            </w:r>
          </w:p>
        </w:tc>
      </w:tr>
      <w:tr>
        <w:trPr>
          <w:trHeight w:val="269"/>
        </w:trPr>
        <w:tc>
          <w:tcPr>
            <w:tcW w:w="7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19,275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18,607</w:t>
            </w:r>
          </w:p>
        </w:tc>
      </w:tr>
      <w:tr>
        <w:trPr>
          <w:trHeight w:val="290"/>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Research and development</w:t>
            </w:r>
          </w:p>
        </w:tc>
        <w:tc>
          <w:tcPr>
            <w:tcW w:w="180" w:type="dxa"/>
            <w:vAlign w:val="bottom"/>
          </w:tcPr>
          <w:p>
            <w:pPr>
              <w:spacing w:after="0"/>
              <w:rPr>
                <w:sz w:val="24"/>
                <w:szCs w:val="24"/>
                <w:color w:val="auto"/>
              </w:rPr>
            </w:pPr>
          </w:p>
        </w:tc>
        <w:tc>
          <w:tcPr>
            <w:tcW w:w="1140" w:type="dxa"/>
            <w:vAlign w:val="bottom"/>
            <w:tcBorders>
              <w:right w:val="single" w:sz="8" w:color="E6E6E6"/>
            </w:tcBorders>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90"/>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Personnel costs</w:t>
            </w:r>
          </w:p>
        </w:tc>
        <w:tc>
          <w:tcPr>
            <w:tcW w:w="1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2,832</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7,109</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Professional fees</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123</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191</w:t>
            </w:r>
          </w:p>
        </w:tc>
      </w:tr>
      <w:tr>
        <w:trPr>
          <w:trHeight w:val="290"/>
        </w:trPr>
        <w:tc>
          <w:tcPr>
            <w:tcW w:w="7260" w:type="dxa"/>
            <w:vAlign w:val="bottom"/>
            <w:tcBorders>
              <w:bottom w:val="single" w:sz="8" w:color="E6E6E6"/>
            </w:tcBorders>
          </w:tcPr>
          <w:p>
            <w:pPr>
              <w:ind w:left="520"/>
              <w:spacing w:after="0"/>
              <w:rPr>
                <w:sz w:val="20"/>
                <w:szCs w:val="20"/>
                <w:color w:val="auto"/>
              </w:rPr>
            </w:pPr>
            <w:r>
              <w:rPr>
                <w:rFonts w:ascii="Times New Roman" w:cs="Times New Roman" w:eastAsia="Times New Roman" w:hAnsi="Times New Roman"/>
                <w:sz w:val="19"/>
                <w:szCs w:val="19"/>
                <w:color w:val="auto"/>
              </w:rPr>
              <w:t>Other (3)</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502</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1,139</w:t>
            </w:r>
          </w:p>
        </w:tc>
      </w:tr>
      <w:tr>
        <w:trPr>
          <w:trHeight w:val="269"/>
        </w:trPr>
        <w:tc>
          <w:tcPr>
            <w:tcW w:w="7260" w:type="dxa"/>
            <w:vAlign w:val="bottom"/>
            <w:tcBorders>
              <w:right w:val="single" w:sz="8" w:color="E6E6E6"/>
            </w:tcBorders>
            <w:shd w:val="clear" w:color="auto" w:fill="E6E6E6"/>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Borders>
              <w:right w:val="single" w:sz="8" w:color="E6E6E6"/>
            </w:tcBorders>
          </w:tcPr>
          <w:p>
            <w:pPr>
              <w:jc w:val="right"/>
              <w:ind w:right="43"/>
              <w:spacing w:after="0"/>
              <w:rPr>
                <w:sz w:val="20"/>
                <w:szCs w:val="20"/>
                <w:color w:val="auto"/>
              </w:rPr>
            </w:pPr>
            <w:r>
              <w:rPr>
                <w:rFonts w:ascii="Times New Roman" w:cs="Times New Roman" w:eastAsia="Times New Roman" w:hAnsi="Times New Roman"/>
                <w:sz w:val="19"/>
                <w:szCs w:val="19"/>
                <w:color w:val="auto"/>
              </w:rPr>
              <w:t>3,457</w:t>
            </w: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8,439</w:t>
            </w:r>
          </w:p>
        </w:tc>
      </w:tr>
      <w:tr>
        <w:trPr>
          <w:trHeight w:val="290"/>
        </w:trPr>
        <w:tc>
          <w:tcPr>
            <w:tcW w:w="7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Sales, marketing and support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9"/>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Personnel costs</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14,447</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14,400</w:t>
            </w:r>
          </w:p>
        </w:tc>
      </w:tr>
      <w:tr>
        <w:trPr>
          <w:trHeight w:val="290"/>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Professional fees</w:t>
            </w:r>
          </w:p>
        </w:tc>
        <w:tc>
          <w:tcPr>
            <w:tcW w:w="1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1,247</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852</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Other (4)</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E6E6E6"/>
            </w:tcBorders>
          </w:tcPr>
          <w:p>
            <w:pPr>
              <w:jc w:val="right"/>
              <w:ind w:right="43"/>
              <w:spacing w:after="0"/>
              <w:rPr>
                <w:sz w:val="20"/>
                <w:szCs w:val="20"/>
                <w:color w:val="auto"/>
              </w:rPr>
            </w:pPr>
            <w:r>
              <w:rPr>
                <w:rFonts w:ascii="Times New Roman" w:cs="Times New Roman" w:eastAsia="Times New Roman" w:hAnsi="Times New Roman"/>
                <w:sz w:val="19"/>
                <w:szCs w:val="19"/>
                <w:color w:val="auto"/>
              </w:rPr>
              <w:t>4,754</w:t>
            </w: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5,761</w:t>
            </w:r>
          </w:p>
        </w:tc>
      </w:tr>
      <w:tr>
        <w:trPr>
          <w:trHeight w:val="269"/>
        </w:trPr>
        <w:tc>
          <w:tcPr>
            <w:tcW w:w="7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20,448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21,013</w:t>
            </w:r>
          </w:p>
        </w:tc>
      </w:tr>
      <w:tr>
        <w:trPr>
          <w:trHeight w:val="290"/>
        </w:trPr>
        <w:tc>
          <w:tcPr>
            <w:tcW w:w="7260" w:type="dxa"/>
            <w:vAlign w:val="bottom"/>
            <w:tcBorders>
              <w:righ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9"/>
                <w:szCs w:val="19"/>
                <w:b w:val="1"/>
                <w:bCs w:val="1"/>
                <w:color w:val="auto"/>
              </w:rPr>
              <w:t>General and administrative</w:t>
            </w:r>
          </w:p>
        </w:tc>
        <w:tc>
          <w:tcPr>
            <w:tcW w:w="180" w:type="dxa"/>
            <w:vAlign w:val="bottom"/>
          </w:tcPr>
          <w:p>
            <w:pPr>
              <w:spacing w:after="0"/>
              <w:rPr>
                <w:sz w:val="24"/>
                <w:szCs w:val="24"/>
                <w:color w:val="auto"/>
              </w:rPr>
            </w:pPr>
          </w:p>
        </w:tc>
        <w:tc>
          <w:tcPr>
            <w:tcW w:w="1140" w:type="dxa"/>
            <w:vAlign w:val="bottom"/>
            <w:tcBorders>
              <w:right w:val="single" w:sz="8" w:color="E6E6E6"/>
            </w:tcBorders>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89"/>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Personnel costs</w:t>
            </w:r>
          </w:p>
        </w:tc>
        <w:tc>
          <w:tcPr>
            <w:tcW w:w="1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8,540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9,448</w:t>
            </w: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Professional fees</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43"/>
              <w:spacing w:after="0"/>
              <w:rPr>
                <w:sz w:val="20"/>
                <w:szCs w:val="20"/>
                <w:color w:val="auto"/>
              </w:rPr>
            </w:pPr>
            <w:r>
              <w:rPr>
                <w:rFonts w:ascii="Times New Roman" w:cs="Times New Roman" w:eastAsia="Times New Roman" w:hAnsi="Times New Roman"/>
                <w:sz w:val="19"/>
                <w:szCs w:val="19"/>
                <w:color w:val="auto"/>
              </w:rPr>
              <w:t>2,426</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2,475</w:t>
            </w:r>
          </w:p>
        </w:tc>
      </w:tr>
      <w:tr>
        <w:trPr>
          <w:trHeight w:val="289"/>
        </w:trPr>
        <w:tc>
          <w:tcPr>
            <w:tcW w:w="7260" w:type="dxa"/>
            <w:vAlign w:val="bottom"/>
            <w:tcBorders>
              <w:bottom w:val="single" w:sz="8" w:color="E6E6E6"/>
            </w:tcBorders>
          </w:tcPr>
          <w:p>
            <w:pPr>
              <w:ind w:left="520"/>
              <w:spacing w:after="0"/>
              <w:rPr>
                <w:sz w:val="20"/>
                <w:szCs w:val="20"/>
                <w:color w:val="auto"/>
              </w:rPr>
            </w:pPr>
            <w:r>
              <w:rPr>
                <w:rFonts w:ascii="Times New Roman" w:cs="Times New Roman" w:eastAsia="Times New Roman" w:hAnsi="Times New Roman"/>
                <w:sz w:val="19"/>
                <w:szCs w:val="19"/>
                <w:color w:val="auto"/>
              </w:rPr>
              <w:t>Other (5)</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4,322</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4,590</w:t>
            </w:r>
          </w:p>
        </w:tc>
      </w:tr>
      <w:tr>
        <w:trPr>
          <w:trHeight w:val="270"/>
        </w:trPr>
        <w:tc>
          <w:tcPr>
            <w:tcW w:w="7260" w:type="dxa"/>
            <w:vAlign w:val="bottom"/>
            <w:tcBorders>
              <w:right w:val="single" w:sz="8" w:color="E6E6E6"/>
            </w:tcBorders>
            <w:shd w:val="clear" w:color="auto" w:fill="E6E6E6"/>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Borders>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15,288</w:t>
            </w:r>
          </w:p>
        </w:tc>
        <w:tc>
          <w:tcPr>
            <w:tcW w:w="300" w:type="dxa"/>
            <w:vAlign w:val="bottom"/>
            <w:shd w:val="clear" w:color="auto" w:fill="E6E6E6"/>
          </w:tcPr>
          <w:p>
            <w:pPr>
              <w:spacing w:after="0"/>
              <w:rPr>
                <w:sz w:val="23"/>
                <w:szCs w:val="23"/>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16,513</w:t>
            </w:r>
          </w:p>
        </w:tc>
      </w:tr>
      <w:tr>
        <w:trPr>
          <w:trHeight w:val="289"/>
        </w:trPr>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7260" w:type="dxa"/>
            <w:vAlign w:val="bottom"/>
            <w:tcBorders>
              <w:right w:val="single" w:sz="8" w:color="E6E6E6"/>
            </w:tcBorders>
            <w:shd w:val="clear" w:color="auto" w:fill="E6E6E6"/>
          </w:tcPr>
          <w:p>
            <w:pPr>
              <w:ind w:left="520"/>
              <w:spacing w:after="0"/>
              <w:rPr>
                <w:sz w:val="20"/>
                <w:szCs w:val="20"/>
                <w:color w:val="auto"/>
              </w:rPr>
            </w:pPr>
            <w:r>
              <w:rPr>
                <w:rFonts w:ascii="Times New Roman" w:cs="Times New Roman" w:eastAsia="Times New Roman" w:hAnsi="Times New Roman"/>
                <w:sz w:val="19"/>
                <w:szCs w:val="19"/>
                <w:color w:val="auto"/>
              </w:rPr>
              <w:t>Goodwill impairment charge</w:t>
            </w:r>
          </w:p>
        </w:tc>
        <w:tc>
          <w:tcPr>
            <w:tcW w:w="180" w:type="dxa"/>
            <w:vAlign w:val="bottom"/>
          </w:tcPr>
          <w:p>
            <w:pPr>
              <w:spacing w:after="0"/>
              <w:rPr>
                <w:sz w:val="24"/>
                <w:szCs w:val="24"/>
                <w:color w:val="auto"/>
              </w:rPr>
            </w:pPr>
          </w:p>
        </w:tc>
        <w:tc>
          <w:tcPr>
            <w:tcW w:w="1140" w:type="dxa"/>
            <w:vAlign w:val="bottom"/>
            <w:tcBorders>
              <w:right w:val="single" w:sz="8" w:color="E6E6E6"/>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9"/>
        </w:trPr>
        <w:tc>
          <w:tcPr>
            <w:tcW w:w="7260" w:type="dxa"/>
            <w:vAlign w:val="bottom"/>
          </w:tcPr>
          <w:p>
            <w:pPr>
              <w:ind w:left="520"/>
              <w:spacing w:after="0"/>
              <w:rPr>
                <w:sz w:val="20"/>
                <w:szCs w:val="20"/>
                <w:color w:val="auto"/>
              </w:rPr>
            </w:pPr>
            <w:r>
              <w:rPr>
                <w:rFonts w:ascii="Times New Roman" w:cs="Times New Roman" w:eastAsia="Times New Roman" w:hAnsi="Times New Roman"/>
                <w:sz w:val="19"/>
                <w:szCs w:val="19"/>
                <w:color w:val="auto"/>
              </w:rPr>
              <w:t>Long-lived asset impairment charge</w:t>
            </w:r>
          </w:p>
        </w:tc>
        <w:tc>
          <w:tcPr>
            <w:tcW w:w="180" w:type="dxa"/>
            <w:vAlign w:val="bottom"/>
          </w:tcPr>
          <w:p>
            <w:pPr>
              <w:spacing w:after="0"/>
              <w:rPr>
                <w:sz w:val="24"/>
                <w:szCs w:val="24"/>
                <w:color w:val="auto"/>
              </w:rPr>
            </w:pPr>
          </w:p>
        </w:tc>
        <w:tc>
          <w:tcPr>
            <w:tcW w:w="114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1,137</w:t>
            </w:r>
          </w:p>
        </w:tc>
      </w:tr>
      <w:tr>
        <w:trPr>
          <w:trHeight w:val="290"/>
        </w:trPr>
        <w:tc>
          <w:tcPr>
            <w:tcW w:w="7260" w:type="dxa"/>
            <w:vAlign w:val="bottom"/>
            <w:tcBorders>
              <w:right w:val="single" w:sz="8" w:color="E6E6E6"/>
            </w:tcBorders>
            <w:shd w:val="clear" w:color="auto" w:fill="E6E6E6"/>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right w:val="single" w:sz="8" w:color="E6E6E6"/>
            </w:tcBorders>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960" w:type="dxa"/>
            <w:vAlign w:val="bottom"/>
            <w:shd w:val="clear" w:color="auto" w:fill="E6E6E6"/>
          </w:tcPr>
          <w:p>
            <w:pPr>
              <w:spacing w:after="0"/>
              <w:rPr>
                <w:sz w:val="24"/>
                <w:szCs w:val="24"/>
                <w:color w:val="auto"/>
              </w:rPr>
            </w:pPr>
          </w:p>
        </w:tc>
      </w:tr>
      <w:tr>
        <w:trPr>
          <w:trHeight w:val="289"/>
        </w:trPr>
        <w:tc>
          <w:tcPr>
            <w:tcW w:w="7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Other segment items (6)</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(3,788)</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(835)</w:t>
            </w:r>
          </w:p>
        </w:tc>
      </w:tr>
      <w:tr>
        <w:trPr>
          <w:trHeight w:val="290"/>
        </w:trPr>
        <w:tc>
          <w:tcPr>
            <w:tcW w:w="7260" w:type="dxa"/>
            <w:vAlign w:val="bottom"/>
            <w:tcBorders>
              <w:right w:val="single" w:sz="8" w:color="E6E6E6"/>
            </w:tcBorders>
            <w:shd w:val="clear" w:color="auto" w:fill="E6E6E6"/>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E6E6E6"/>
            </w:tcBorders>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960" w:type="dxa"/>
            <w:vAlign w:val="bottom"/>
            <w:tcBorders>
              <w:bottom w:val="single" w:sz="8" w:color="auto"/>
            </w:tcBorders>
            <w:shd w:val="clear" w:color="auto" w:fill="E6E6E6"/>
          </w:tcPr>
          <w:p>
            <w:pPr>
              <w:spacing w:after="0"/>
              <w:rPr>
                <w:sz w:val="24"/>
                <w:szCs w:val="24"/>
                <w:color w:val="auto"/>
              </w:rPr>
            </w:pPr>
          </w:p>
        </w:tc>
      </w:tr>
      <w:tr>
        <w:trPr>
          <w:trHeight w:val="271"/>
        </w:trPr>
        <w:tc>
          <w:tcPr>
            <w:tcW w:w="72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(7,383)</w:t>
            </w: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(11,048)</w:t>
            </w:r>
          </w:p>
        </w:tc>
      </w:tr>
      <w:tr>
        <w:trPr>
          <w:trHeight w:val="20"/>
        </w:trPr>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-7021830</wp:posOffset>
            </wp:positionV>
            <wp:extent cx="6241415" cy="6998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
                      <a:extLst>
                        <a:ext uri="{28A0092B-C50C-407E-A947-70E740481C1C}"/>
                      </a:extLst>
                    </a:blip>
                    <a:srcRect/>
                    <a:stretch>
                      <a:fillRect/>
                    </a:stretch>
                  </pic:blipFill>
                  <pic:spPr bwMode="auto">
                    <a:xfrm>
                      <a:off x="0" y="0"/>
                      <a:ext cx="6241415" cy="6998335"/>
                    </a:xfrm>
                    <a:prstGeom prst="rect">
                      <a:avLst/>
                    </a:prstGeom>
                    <a:noFill/>
                  </pic:spPr>
                </pic:pic>
              </a:graphicData>
            </a:graphic>
          </wp:anchor>
        </w:drawing>
      </w:r>
    </w:p>
    <w:p>
      <w:pPr>
        <w:spacing w:after="0" w:line="226" w:lineRule="exact"/>
        <w:rPr>
          <w:sz w:val="20"/>
          <w:szCs w:val="20"/>
          <w:color w:val="auto"/>
        </w:rPr>
      </w:pPr>
    </w:p>
    <w:p>
      <w:pPr>
        <w:ind w:left="700" w:hanging="343"/>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costs related to Inmarsat, service activations, content service, CommBox Edge and other miscellaneous</w:t>
      </w:r>
    </w:p>
    <w:p>
      <w:pPr>
        <w:spacing w:after="0" w:line="18"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costs related to CommBox Edge, TracNet Coastal, obsolete inventory write-off and other miscellaneous</w:t>
      </w:r>
    </w:p>
    <w:p>
      <w:pPr>
        <w:spacing w:after="0" w:line="18" w:lineRule="exact"/>
        <w:rPr>
          <w:rFonts w:ascii="Times New Roman" w:cs="Times New Roman" w:eastAsia="Times New Roman" w:hAnsi="Times New Roman"/>
          <w:sz w:val="19"/>
          <w:szCs w:val="19"/>
          <w:color w:val="auto"/>
        </w:rPr>
      </w:pPr>
    </w:p>
    <w:p>
      <w:pPr>
        <w:ind w:left="700" w:hanging="343"/>
        <w:spacing w:after="0"/>
        <w:tabs>
          <w:tab w:leader="none" w:pos="7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facilities and other less significant expenses</w:t>
      </w:r>
    </w:p>
    <w:p>
      <w:pPr>
        <w:sectPr>
          <w:pgSz w:w="11880" w:h="15480" w:orient="portrait"/>
          <w:cols w:equalWidth="0" w:num="1">
            <w:col w:w="9840"/>
          </w:cols>
          <w:pgMar w:left="980" w:top="334" w:right="10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840"/>
          </w:cols>
          <w:pgMar w:left="980" w:top="334" w:right="1060" w:bottom="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5" w:lineRule="exact"/>
        <w:rPr>
          <w:sz w:val="20"/>
          <w:szCs w:val="20"/>
          <w:color w:val="auto"/>
        </w:rPr>
      </w:pPr>
    </w:p>
    <w:p>
      <w:pPr>
        <w:ind w:left="700" w:right="20" w:hanging="343"/>
        <w:spacing w:after="0" w:line="260"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marketing expenses, external commissions, travel and entertainment, facilities expense, warranty expense and other less significant expenses</w:t>
      </w:r>
    </w:p>
    <w:p>
      <w:pPr>
        <w:spacing w:after="0" w:line="1" w:lineRule="exact"/>
        <w:rPr>
          <w:rFonts w:ascii="Times New Roman" w:cs="Times New Roman" w:eastAsia="Times New Roman" w:hAnsi="Times New Roman"/>
          <w:sz w:val="19"/>
          <w:szCs w:val="19"/>
          <w:color w:val="auto"/>
        </w:rPr>
      </w:pPr>
    </w:p>
    <w:p>
      <w:pPr>
        <w:ind w:left="700" w:right="640" w:hanging="343"/>
        <w:spacing w:after="0" w:line="261"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the financing fees, facilities expense, computer expenses, depreciation and amortization and other less significant expenses</w:t>
      </w:r>
    </w:p>
    <w:p>
      <w:pPr>
        <w:ind w:left="700" w:right="440" w:hanging="343"/>
        <w:spacing w:after="0" w:line="305" w:lineRule="auto"/>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segment items includes interest income; other income (expense), net; and income tax expense (benefit) line items on the face of the income statement</w:t>
      </w:r>
    </w:p>
    <w:p>
      <w:pPr>
        <w:spacing w:after="0" w:line="158" w:lineRule="exact"/>
        <w:rPr>
          <w:sz w:val="20"/>
          <w:szCs w:val="20"/>
          <w:color w:val="auto"/>
        </w:rPr>
      </w:pPr>
    </w:p>
    <w:p>
      <w:pPr>
        <w:jc w:val="both"/>
        <w:ind w:left="20" w:firstLine="521"/>
        <w:spacing w:after="0" w:line="314" w:lineRule="auto"/>
        <w:rPr>
          <w:sz w:val="20"/>
          <w:szCs w:val="20"/>
          <w:color w:val="auto"/>
        </w:rPr>
      </w:pPr>
      <w:r>
        <w:rPr>
          <w:rFonts w:ascii="Times New Roman" w:cs="Times New Roman" w:eastAsia="Times New Roman" w:hAnsi="Times New Roman"/>
          <w:sz w:val="19"/>
          <w:szCs w:val="19"/>
          <w:color w:val="auto"/>
        </w:rPr>
        <w:t>Regarding the Company's long-lived assets of $26,414, $8,788 of these assets are located in the United States. Regarding the assets located outside the United States, $5,612 are located in Singapore. The geographic location of the Company's AgilePlans revenue-generating assets has been determined based upon the customer shipping address.</w:t>
      </w:r>
    </w:p>
    <w:p>
      <w:pPr>
        <w:spacing w:after="0" w:line="203" w:lineRule="exact"/>
        <w:rPr>
          <w:sz w:val="20"/>
          <w:szCs w:val="20"/>
          <w:color w:val="auto"/>
        </w:rPr>
      </w:pPr>
    </w:p>
    <w:p>
      <w:pPr>
        <w:ind w:left="700" w:hanging="690"/>
        <w:spacing w:after="0"/>
        <w:tabs>
          <w:tab w:leader="none" w:pos="700" w:val="left"/>
        </w:tabs>
        <w:numPr>
          <w:ilvl w:val="0"/>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Share Buyback Program</w:t>
      </w:r>
    </w:p>
    <w:p>
      <w:pPr>
        <w:spacing w:after="0" w:line="317" w:lineRule="exact"/>
        <w:rPr>
          <w:sz w:val="20"/>
          <w:szCs w:val="20"/>
          <w:color w:val="auto"/>
        </w:rPr>
      </w:pPr>
    </w:p>
    <w:p>
      <w:pPr>
        <w:jc w:val="both"/>
        <w:ind w:left="20" w:firstLine="521"/>
        <w:spacing w:after="0" w:line="307" w:lineRule="auto"/>
        <w:rPr>
          <w:sz w:val="20"/>
          <w:szCs w:val="20"/>
          <w:color w:val="auto"/>
        </w:rPr>
      </w:pPr>
      <w:r>
        <w:rPr>
          <w:rFonts w:ascii="Times New Roman" w:cs="Times New Roman" w:eastAsia="Times New Roman" w:hAnsi="Times New Roman"/>
          <w:sz w:val="19"/>
          <w:szCs w:val="19"/>
          <w:color w:val="auto"/>
        </w:rPr>
        <w:t>On December 9, 2024, the Board of Directors of the Company authorized a share repurchase program pursuant to which the Company may purchase outstanding shares of the Company’s common stock for an aggregate purchase price of up to $10 million. On March 6, 2026, the Board of Directors of our Company authorized an increase in the size of the repurchase program from $10 million to $15 million.</w:t>
      </w:r>
    </w:p>
    <w:p>
      <w:pPr>
        <w:spacing w:after="0" w:line="214" w:lineRule="exact"/>
        <w:rPr>
          <w:sz w:val="20"/>
          <w:szCs w:val="20"/>
          <w:color w:val="auto"/>
        </w:rPr>
      </w:pPr>
    </w:p>
    <w:p>
      <w:pPr>
        <w:jc w:val="both"/>
        <w:ind w:left="20" w:firstLine="521"/>
        <w:spacing w:after="0" w:line="298" w:lineRule="auto"/>
        <w:rPr>
          <w:sz w:val="20"/>
          <w:szCs w:val="20"/>
          <w:color w:val="auto"/>
        </w:rPr>
      </w:pPr>
      <w:r>
        <w:rPr>
          <w:rFonts w:ascii="Times New Roman" w:cs="Times New Roman" w:eastAsia="Times New Roman" w:hAnsi="Times New Roman"/>
          <w:sz w:val="19"/>
          <w:szCs w:val="19"/>
          <w:color w:val="auto"/>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spacing w:after="0" w:line="221" w:lineRule="exact"/>
        <w:rPr>
          <w:sz w:val="20"/>
          <w:szCs w:val="20"/>
          <w:color w:val="auto"/>
        </w:rPr>
      </w:pPr>
    </w:p>
    <w:p>
      <w:pPr>
        <w:jc w:val="both"/>
        <w:ind w:left="20" w:right="20" w:firstLine="521"/>
        <w:spacing w:after="0" w:line="337" w:lineRule="auto"/>
        <w:rPr>
          <w:sz w:val="20"/>
          <w:szCs w:val="20"/>
          <w:color w:val="auto"/>
        </w:rPr>
      </w:pPr>
      <w:r>
        <w:rPr>
          <w:rFonts w:ascii="Times New Roman" w:cs="Times New Roman" w:eastAsia="Times New Roman" w:hAnsi="Times New Roman"/>
          <w:sz w:val="19"/>
          <w:szCs w:val="19"/>
          <w:color w:val="auto"/>
        </w:rPr>
        <w:t>In 2025, the Company repurchased 327 shares of common stock in open market transactions at a cost of approximately $1,743. Except as noted above, there were no other repurchase programs outstanding.</w:t>
      </w:r>
    </w:p>
    <w:p>
      <w:pPr>
        <w:spacing w:after="0" w:line="184" w:lineRule="exact"/>
        <w:rPr>
          <w:sz w:val="20"/>
          <w:szCs w:val="20"/>
          <w:color w:val="auto"/>
        </w:rPr>
      </w:pPr>
    </w:p>
    <w:p>
      <w:pPr>
        <w:ind w:left="700" w:hanging="691"/>
        <w:spacing w:after="0"/>
        <w:tabs>
          <w:tab w:leader="none" w:pos="700"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Business Combination</w:t>
      </w:r>
    </w:p>
    <w:p>
      <w:pPr>
        <w:spacing w:after="0" w:line="317"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On October 8, 2025 (the “Closing Date”), the Company entered into an agreement (the “Agreement”) to purchase the maritime satellite service business of a satellite services provider operating in the Asia-Pacific region (the “Seller”). The transfer of control from the Seller to the Company is referred to as the “Acquisition”. The Acquisition was consummated on the Closing Date. The Acquisition was funded from existing cash of the Company. These financial statements include results of operations following the consummation of the Acquisition for the period from October 8, 2025 through December 31, 2025, which include airtime revenue of $2.5 million and airtime costs of service sales of $1.5 million.</w:t>
      </w:r>
    </w:p>
    <w:p>
      <w:pPr>
        <w:spacing w:after="0" w:line="220" w:lineRule="exact"/>
        <w:rPr>
          <w:sz w:val="20"/>
          <w:szCs w:val="20"/>
          <w:color w:val="auto"/>
        </w:rPr>
      </w:pPr>
    </w:p>
    <w:p>
      <w:pPr>
        <w:jc w:val="both"/>
        <w:ind w:firstLine="521"/>
        <w:spacing w:after="0" w:line="301" w:lineRule="auto"/>
        <w:rPr>
          <w:sz w:val="20"/>
          <w:szCs w:val="20"/>
          <w:color w:val="auto"/>
        </w:rPr>
      </w:pPr>
      <w:r>
        <w:rPr>
          <w:rFonts w:ascii="Times New Roman" w:cs="Times New Roman" w:eastAsia="Times New Roman" w:hAnsi="Times New Roman"/>
          <w:sz w:val="19"/>
          <w:szCs w:val="19"/>
          <w:color w:val="auto"/>
        </w:rPr>
        <w:t>In connection with the acquisition, a subsidiary of the Company made offers of employment to eleven employees of the Seller, all of which were accepted. The Company also entered into transition arrangements with the Seller to facilitate the orderly transfer of the business. The transfer of certain agreements requires the consent of the counterparty. The Company expects that, if consent is not obtained, the Company and the Seller will fulfill those agreements through subcontracting arrangements, where permitted. The agreements remain terminable in accordance with their terms, and the unanticipated termination of any of the agreements may prevent the Company from realizing some or all of the anticipated benefits of the acquisition.</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880" w:h="15480" w:orient="portrait"/>
          <w:cols w:equalWidth="0" w:num="1">
            <w:col w:w="9920"/>
          </w:cols>
          <w:pgMar w:left="980" w:top="334" w:right="980" w:bottom="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Purchase Consideration</w:t>
      </w:r>
    </w:p>
    <w:p>
      <w:pPr>
        <w:spacing w:after="0" w:line="364" w:lineRule="exact"/>
        <w:rPr>
          <w:sz w:val="20"/>
          <w:szCs w:val="20"/>
          <w:color w:val="auto"/>
        </w:rPr>
      </w:pPr>
    </w:p>
    <w:p>
      <w:pPr>
        <w:jc w:val="both"/>
        <w:ind w:firstLine="521"/>
        <w:spacing w:after="0" w:line="314" w:lineRule="auto"/>
        <w:rPr>
          <w:sz w:val="20"/>
          <w:szCs w:val="20"/>
          <w:color w:val="auto"/>
        </w:rPr>
      </w:pPr>
      <w:r>
        <w:rPr>
          <w:rFonts w:ascii="Times New Roman" w:cs="Times New Roman" w:eastAsia="Times New Roman" w:hAnsi="Times New Roman"/>
          <w:sz w:val="19"/>
          <w:szCs w:val="19"/>
          <w:color w:val="auto"/>
        </w:rPr>
        <w:t>The aggregate purchase price consideration transferred from the Company to the Seller totaled $4,721, which consisted of cash payments at closing totaling $3,775 and non-cash consideration in form of the settlement of certain receivables owed to the Company by the Seller and valued at $945.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Assets and Liabilities Acquired</w:t>
      </w:r>
    </w:p>
    <w:p>
      <w:pPr>
        <w:spacing w:after="0" w:line="364" w:lineRule="exact"/>
        <w:rPr>
          <w:sz w:val="20"/>
          <w:szCs w:val="20"/>
          <w:color w:val="auto"/>
        </w:rPr>
      </w:pPr>
    </w:p>
    <w:p>
      <w:pPr>
        <w:jc w:val="both"/>
        <w:ind w:firstLine="522"/>
        <w:spacing w:after="0" w:line="298" w:lineRule="auto"/>
        <w:rPr>
          <w:sz w:val="20"/>
          <w:szCs w:val="20"/>
          <w:color w:val="auto"/>
        </w:rPr>
      </w:pPr>
      <w:r>
        <w:rPr>
          <w:rFonts w:ascii="Times New Roman" w:cs="Times New Roman" w:eastAsia="Times New Roman" w:hAnsi="Times New Roman"/>
          <w:sz w:val="19"/>
          <w:szCs w:val="19"/>
          <w:color w:val="auto"/>
        </w:rPr>
        <w:t>The Acquisition was accounted for as a business combination using the acquisition method of accounting in accordance with ASC 805, Business Combinations. The excess of the purchase price over the fair value of the tangible and intangible assets acquired and liabilities assumed has been recorded as goodwill. The acquisition resulted in recorded goodwill as a result of the synergies expected to be realized, assembled workforce, and how the Company expects to leverage the business to create additional value for its equity holders. The acquisition is expected to expand the Company’s maritime satellite communications distribution capabilities and customer base in the Asia-Pacific market. The acquisition is also expected to contribute incremental gross margin and be accretive to the Company’s earnings. The purchase price has been allocated to the tangible assets and identifiable intangible assets acquired and liabilities assumed based upon their fair values as of the acquisition date. The goodwill is expected to be deductible for income tax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fair value of the assets acquired as of October 8,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212725</wp:posOffset>
                </wp:positionV>
                <wp:extent cx="6268720" cy="20955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8720" cy="209550"/>
                        </a:xfrm>
                        <a:prstGeom prst="rect">
                          <a:avLst/>
                        </a:prstGeom>
                        <a:solidFill>
                          <a:srgbClr val="E6E6E6"/>
                        </a:solidFill>
                      </wps:spPr>
                      <wps:bodyPr/>
                    </wps:wsp>
                  </a:graphicData>
                </a:graphic>
              </wp:anchor>
            </w:drawing>
          </mc:Choice>
          <mc:Fallback>
            <w:pict>
              <v:rect id="Shape 94" o:spid="_x0000_s1119" style="position:absolute;margin-left:0.5pt;margin-top:16.75pt;width:493.6pt;height: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38735</wp:posOffset>
                </wp:positionH>
                <wp:positionV relativeFrom="paragraph">
                  <wp:posOffset>231140</wp:posOffset>
                </wp:positionV>
                <wp:extent cx="4980940" cy="19113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0940" cy="191135"/>
                        </a:xfrm>
                        <a:prstGeom prst="rect">
                          <a:avLst/>
                        </a:prstGeom>
                        <a:solidFill>
                          <a:srgbClr val="E6E6E6"/>
                        </a:solidFill>
                      </wps:spPr>
                      <wps:bodyPr/>
                    </wps:wsp>
                  </a:graphicData>
                </a:graphic>
              </wp:anchor>
            </w:drawing>
          </mc:Choice>
          <mc:Fallback>
            <w:pict>
              <v:rect id="Shape 95" o:spid="_x0000_s1120" style="position:absolute;margin-left:3.05pt;margin-top:18.2pt;width:392.2pt;height:1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Fair value of assets acquired: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Inventory</w:t>
            </w:r>
          </w:p>
        </w:tc>
        <w:tc>
          <w:tcPr>
            <w:tcW w:w="780" w:type="dxa"/>
            <w:vAlign w:val="bottom"/>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615</w:t>
            </w:r>
          </w:p>
        </w:tc>
      </w:tr>
      <w:tr>
        <w:trPr>
          <w:trHeight w:val="289"/>
        </w:trPr>
        <w:tc>
          <w:tcPr>
            <w:tcW w:w="79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Intangible asset:</w:t>
            </w:r>
          </w:p>
        </w:tc>
        <w:tc>
          <w:tcPr>
            <w:tcW w:w="78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r>
      <w:tr>
        <w:trPr>
          <w:trHeight w:val="290"/>
        </w:trPr>
        <w:tc>
          <w:tcPr>
            <w:tcW w:w="79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Customer relationships</w:t>
            </w:r>
          </w:p>
        </w:tc>
        <w:tc>
          <w:tcPr>
            <w:tcW w:w="7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3,374</w:t>
            </w:r>
          </w:p>
        </w:tc>
      </w:tr>
      <w:tr>
        <w:trPr>
          <w:trHeight w:val="290"/>
        </w:trPr>
        <w:tc>
          <w:tcPr>
            <w:tcW w:w="7960" w:type="dxa"/>
            <w:vAlign w:val="bottom"/>
            <w:gridSpan w:val="2"/>
            <w:shd w:val="clear" w:color="auto" w:fill="E6E6E6"/>
          </w:tcPr>
          <w:p>
            <w:pPr>
              <w:ind w:left="60"/>
              <w:spacing w:after="0"/>
              <w:rPr>
                <w:sz w:val="20"/>
                <w:szCs w:val="20"/>
                <w:color w:val="auto"/>
              </w:rPr>
            </w:pPr>
            <w:r>
              <w:rPr>
                <w:rFonts w:ascii="Times New Roman" w:cs="Times New Roman" w:eastAsia="Times New Roman" w:hAnsi="Times New Roman"/>
                <w:sz w:val="19"/>
                <w:szCs w:val="19"/>
                <w:color w:val="auto"/>
              </w:rPr>
              <w:t>Goodwill</w:t>
            </w:r>
          </w:p>
        </w:tc>
        <w:tc>
          <w:tcPr>
            <w:tcW w:w="780" w:type="dxa"/>
            <w:vAlign w:val="bottom"/>
            <w:tcBorders>
              <w:bottom w:val="single" w:sz="8" w:color="auto"/>
            </w:tcBorders>
            <w:shd w:val="clear" w:color="auto" w:fill="E6E6E6"/>
          </w:tcPr>
          <w:p>
            <w:pPr>
              <w:spacing w:after="0"/>
              <w:rPr>
                <w:sz w:val="24"/>
                <w:szCs w:val="24"/>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9"/>
                <w:szCs w:val="19"/>
                <w:color w:val="auto"/>
              </w:rPr>
              <w:t>732</w:t>
            </w:r>
          </w:p>
        </w:tc>
      </w:tr>
      <w:tr>
        <w:trPr>
          <w:trHeight w:val="272"/>
        </w:trPr>
        <w:tc>
          <w:tcPr>
            <w:tcW w:w="79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4,721</w:t>
            </w:r>
          </w:p>
        </w:tc>
      </w:tr>
      <w:tr>
        <w:trPr>
          <w:trHeight w:val="20"/>
        </w:trPr>
        <w:tc>
          <w:tcPr>
            <w:tcW w:w="7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5052060</wp:posOffset>
                </wp:positionH>
                <wp:positionV relativeFrom="paragraph">
                  <wp:posOffset>-208280</wp:posOffset>
                </wp:positionV>
                <wp:extent cx="122237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237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8pt,-16.3999pt" to="494.05pt,-16.3999pt" o:allowincell="f" strokecolor="#FFFFFF" strokeweight="0.058pt"/>
            </w:pict>
          </mc:Fallback>
        </mc:AlternateContent>
      </w:r>
    </w:p>
    <w:p>
      <w:pPr>
        <w:spacing w:after="0" w:line="226" w:lineRule="exact"/>
        <w:rPr>
          <w:sz w:val="20"/>
          <w:szCs w:val="20"/>
          <w:color w:val="auto"/>
        </w:rPr>
      </w:pPr>
    </w:p>
    <w:p>
      <w:pPr>
        <w:jc w:val="both"/>
        <w:ind w:firstLine="521"/>
        <w:spacing w:after="0" w:line="299" w:lineRule="auto"/>
        <w:rPr>
          <w:sz w:val="20"/>
          <w:szCs w:val="20"/>
          <w:color w:val="auto"/>
        </w:rPr>
      </w:pPr>
      <w:r>
        <w:rPr>
          <w:rFonts w:ascii="Times New Roman" w:cs="Times New Roman" w:eastAsia="Times New Roman" w:hAnsi="Times New Roman"/>
          <w:sz w:val="19"/>
          <w:szCs w:val="19"/>
          <w:color w:val="auto"/>
        </w:rPr>
        <w:t>The Company engaged a third-party specialist to assist management in the determination of the estimated fair value of intangible asset acquired. The fair value of the intangible asset was estimated using Multi-Period Excess Earnings Method (MPEEM), an income approach specifically used to measure the fair value of intangible asset that generate distinct, separable cash flows. The use of MPEEM further supports the separability of customer relationships by demonstrating that the customer relationships generate standalone economic benefits and could be sold, licensed, or transferred, either independently or with related contracts or assets. The following table summarizes the acquired identifiable intangible asset, Closing Date fair value, and useful life:</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1260" w:type="dxa"/>
            <w:vAlign w:val="bottom"/>
            <w:tcBorders>
              <w:left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17"/>
                <w:szCs w:val="17"/>
                <w:b w:val="1"/>
                <w:bCs w:val="1"/>
                <w:color w:val="auto"/>
              </w:rPr>
              <w:t>Intangible Asset</w:t>
            </w:r>
          </w:p>
        </w:tc>
        <w:tc>
          <w:tcPr>
            <w:tcW w:w="4060" w:type="dxa"/>
            <w:vAlign w:val="bottom"/>
            <w:shd w:val="clear" w:color="auto" w:fill="E6E6E6"/>
          </w:tcPr>
          <w:p>
            <w:pPr>
              <w:spacing w:after="0"/>
              <w:rPr>
                <w:sz w:val="22"/>
                <w:szCs w:val="22"/>
                <w:color w:val="auto"/>
              </w:rPr>
            </w:pPr>
          </w:p>
        </w:tc>
        <w:tc>
          <w:tcPr>
            <w:tcW w:w="178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b w:val="1"/>
                <w:bCs w:val="1"/>
                <w:color w:val="auto"/>
              </w:rPr>
              <w:t>Closing Date Fair Value</w:t>
            </w:r>
          </w:p>
        </w:tc>
        <w:tc>
          <w:tcPr>
            <w:tcW w:w="540" w:type="dxa"/>
            <w:vAlign w:val="bottom"/>
            <w:shd w:val="clear" w:color="auto" w:fill="E6E6E6"/>
          </w:tcPr>
          <w:p>
            <w:pPr>
              <w:spacing w:after="0"/>
              <w:rPr>
                <w:sz w:val="22"/>
                <w:szCs w:val="22"/>
                <w:color w:val="auto"/>
              </w:rPr>
            </w:pPr>
          </w:p>
        </w:tc>
        <w:tc>
          <w:tcPr>
            <w:tcW w:w="2280" w:type="dxa"/>
            <w:vAlign w:val="bottom"/>
            <w:gridSpan w:val="2"/>
            <w:shd w:val="clear" w:color="auto" w:fill="E6E6E6"/>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99"/>
              </w:rPr>
              <w:t>Useful Life in Years</w:t>
            </w:r>
          </w:p>
        </w:tc>
      </w:tr>
      <w:tr>
        <w:trPr>
          <w:trHeight w:val="22"/>
        </w:trPr>
        <w:tc>
          <w:tcPr>
            <w:tcW w:w="1260" w:type="dxa"/>
            <w:vAlign w:val="bottom"/>
            <w:tcBorders>
              <w:left w:val="single" w:sz="8" w:color="E6E6E6"/>
            </w:tcBorders>
            <w:shd w:val="clear" w:color="auto" w:fill="000000"/>
          </w:tcPr>
          <w:p>
            <w:pPr>
              <w:spacing w:after="0" w:line="20" w:lineRule="exact"/>
              <w:rPr>
                <w:sz w:val="1"/>
                <w:szCs w:val="1"/>
                <w:color w:val="auto"/>
              </w:rPr>
            </w:pPr>
          </w:p>
        </w:tc>
        <w:tc>
          <w:tcPr>
            <w:tcW w:w="4060" w:type="dxa"/>
            <w:vAlign w:val="bottom"/>
            <w:shd w:val="clear" w:color="auto" w:fill="E6E6E6"/>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40" w:type="dxa"/>
            <w:vAlign w:val="bottom"/>
            <w:shd w:val="clear" w:color="auto" w:fill="E6E6E6"/>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20" w:type="dxa"/>
            <w:vAlign w:val="bottom"/>
            <w:shd w:val="clear" w:color="auto" w:fill="E6E6E6"/>
          </w:tcPr>
          <w:p>
            <w:pPr>
              <w:spacing w:after="0" w:line="20" w:lineRule="exact"/>
              <w:rPr>
                <w:sz w:val="1"/>
                <w:szCs w:val="1"/>
                <w:color w:val="auto"/>
              </w:rPr>
            </w:pPr>
          </w:p>
        </w:tc>
      </w:tr>
      <w:tr>
        <w:trPr>
          <w:trHeight w:val="312"/>
        </w:trPr>
        <w:tc>
          <w:tcPr>
            <w:tcW w:w="5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$3,374</w:t>
            </w: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Transition Services</w:t>
      </w:r>
    </w:p>
    <w:p>
      <w:pPr>
        <w:spacing w:after="0" w:line="338" w:lineRule="exact"/>
        <w:rPr>
          <w:sz w:val="20"/>
          <w:szCs w:val="20"/>
          <w:color w:val="auto"/>
        </w:rPr>
      </w:pPr>
    </w:p>
    <w:p>
      <w:pPr>
        <w:jc w:val="both"/>
        <w:ind w:right="20" w:firstLine="521"/>
        <w:spacing w:after="0" w:line="337" w:lineRule="auto"/>
        <w:rPr>
          <w:sz w:val="20"/>
          <w:szCs w:val="20"/>
          <w:color w:val="auto"/>
        </w:rPr>
      </w:pPr>
      <w:r>
        <w:rPr>
          <w:rFonts w:ascii="Times New Roman" w:cs="Times New Roman" w:eastAsia="Times New Roman" w:hAnsi="Times New Roman"/>
          <w:sz w:val="19"/>
          <w:szCs w:val="19"/>
          <w:color w:val="auto"/>
        </w:rPr>
        <w:t>The Agreement included certain transition services to be provided by the Seller to the Company, which are not expected to be material.</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880" w:h="15480" w:orient="portrait"/>
          <w:cols w:equalWidth="0" w:num="1">
            <w:col w:w="9920"/>
          </w:cols>
          <w:pgMar w:left="980" w:top="334" w:right="980" w:bottom="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9"/>
          <w:szCs w:val="19"/>
          <w:b w:val="1"/>
          <w:bCs w:val="1"/>
          <w:color w:val="auto"/>
        </w:rPr>
        <w:t>KVH INDUSTRIES,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 (Continued)</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December 31, 2025 and 2024</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 except per share amounts)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 Costs</w:t>
      </w:r>
    </w:p>
    <w:p>
      <w:pPr>
        <w:spacing w:after="0" w:line="364" w:lineRule="exact"/>
        <w:rPr>
          <w:sz w:val="20"/>
          <w:szCs w:val="20"/>
          <w:color w:val="auto"/>
        </w:rPr>
      </w:pPr>
    </w:p>
    <w:p>
      <w:pPr>
        <w:ind w:firstLine="521"/>
        <w:spacing w:after="0" w:line="337" w:lineRule="auto"/>
        <w:rPr>
          <w:sz w:val="20"/>
          <w:szCs w:val="20"/>
          <w:color w:val="auto"/>
        </w:rPr>
      </w:pPr>
      <w:r>
        <w:rPr>
          <w:rFonts w:ascii="Times New Roman" w:cs="Times New Roman" w:eastAsia="Times New Roman" w:hAnsi="Times New Roman"/>
          <w:sz w:val="19"/>
          <w:szCs w:val="19"/>
          <w:color w:val="auto"/>
        </w:rPr>
        <w:t>In conjunction with the Acquisition, the Company’s acquisition expenses of approximately $352 have been included within general and administrative expenses on the accompanying consolidated statements of operations.</w:t>
      </w:r>
    </w:p>
    <w:p>
      <w:pPr>
        <w:sectPr>
          <w:pgSz w:w="11880" w:h="15480" w:orient="portrait"/>
          <w:cols w:equalWidth="0" w:num="1">
            <w:col w:w="9920"/>
          </w:cols>
          <w:pgMar w:left="980" w:top="3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0" w:orient="portrait"/>
          <w:cols w:equalWidth="0" w:num="1">
            <w:col w:w="9920"/>
          </w:cols>
          <w:pgMar w:left="980" w:top="334" w:right="980" w:bottom="0" w:gutter="0" w:footer="0" w:header="0"/>
          <w:type w:val="continuous"/>
        </w:sectPr>
      </w:pPr>
    </w:p>
    <w:bookmarkStart w:id="86" w:name="page87"/>
    <w:bookmarkEnd w:id="8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3"/>
          <w:szCs w:val="23"/>
          <w:b w:val="1"/>
          <w:bCs w:val="1"/>
          <w:color w:val="auto"/>
        </w:rPr>
        <w:t>002CSR0633</w:t>
      </w:r>
    </w:p>
    <w:sectPr>
      <w:pgSz w:w="11880" w:h="15480" w:orient="portrait"/>
      <w:cols w:equalWidth="0" w:num="1">
        <w:col w:w="9020"/>
      </w:cols>
      <w:pgMar w:left="1440" w:top="1440" w:right="1420" w:bottom="11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
      <w:numFmt w:val="bullet"/>
      <w:start w:val="1"/>
    </w:lvl>
  </w:abstractNum>
  <w:abstractNum w:abstractNumId="1">
    <w:nsid w:val="B03E0C6"/>
    <w:multiLevelType w:val="hybridMultilevel"/>
    <w:lvl w:ilvl="0">
      <w:lvlJc w:val="left"/>
      <w:lvlText w:val=" "/>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2"/>
    </w:lvl>
  </w:abstractNum>
  <w:abstractNum w:abstractNumId="10">
    <w:nsid w:val="1E7FF521"/>
    <w:multiLevelType w:val="hybridMultilevel"/>
    <w:lvl w:ilvl="0">
      <w:lvlJc w:val="left"/>
      <w:lvlText w:val="(%1)"/>
      <w:numFmt w:val="lowerLetter"/>
      <w:start w:val="3"/>
    </w:lvl>
  </w:abstractNum>
  <w:abstractNum w:abstractNumId="11">
    <w:nsid w:val="7C3DBD3D"/>
    <w:multiLevelType w:val="hybridMultilevel"/>
    <w:lvl w:ilvl="0">
      <w:lvlJc w:val="left"/>
      <w:lvlText w:val="(%1)"/>
      <w:numFmt w:val="lowerLetter"/>
      <w:start w:val="4"/>
    </w:lvl>
  </w:abstractNum>
  <w:abstractNum w:abstractNumId="12">
    <w:nsid w:val="737B8DDC"/>
    <w:multiLevelType w:val="hybridMultilevel"/>
    <w:lvl w:ilvl="0">
      <w:lvlJc w:val="left"/>
      <w:lvlText w:val="(%1)"/>
      <w:numFmt w:val="lowerLetter"/>
      <w:start w:val="5"/>
    </w:lvl>
  </w:abstractNum>
  <w:abstractNum w:abstractNumId="13">
    <w:nsid w:val="6CEAF087"/>
    <w:multiLevelType w:val="hybridMultilevel"/>
    <w:lvl w:ilvl="0">
      <w:lvlJc w:val="left"/>
      <w:lvlText w:val="%1)"/>
      <w:numFmt w:val="decimal"/>
      <w:start w:val="5"/>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Letter"/>
      <w:start w:val="6"/>
    </w:lvl>
  </w:abstractNum>
  <w:abstractNum w:abstractNumId="16">
    <w:nsid w:val="3006C83E"/>
    <w:multiLevelType w:val="hybridMultilevel"/>
    <w:lvl w:ilvl="0">
      <w:lvlJc w:val="left"/>
      <w:lvlText w:val="(%1)"/>
      <w:numFmt w:val="lowerLetter"/>
      <w:start w:val="7"/>
    </w:lvl>
  </w:abstractNum>
  <w:abstractNum w:abstractNumId="17">
    <w:nsid w:val="614FD4A1"/>
    <w:multiLevelType w:val="hybridMultilevel"/>
    <w:lvl w:ilvl="0">
      <w:lvlJc w:val="left"/>
      <w:lvlText w:val="(%1)"/>
      <w:numFmt w:val="lowerLetter"/>
      <w:start w:val="8"/>
    </w:lvl>
  </w:abstractNum>
  <w:abstractNum w:abstractNumId="18">
    <w:nsid w:val="419AC241"/>
    <w:multiLevelType w:val="hybridMultilevel"/>
    <w:lvl w:ilvl="0">
      <w:lvlJc w:val="left"/>
      <w:lvlText w:val="(%1)"/>
      <w:numFmt w:val="lowerRoman"/>
      <w:start w:val="1"/>
    </w:lvl>
  </w:abstractNum>
  <w:abstractNum w:abstractNumId="19">
    <w:nsid w:val="5577F8E1"/>
    <w:multiLevelType w:val="hybridMultilevel"/>
    <w:lvl w:ilvl="0">
      <w:lvlJc w:val="left"/>
      <w:lvlText w:val="(%1)"/>
      <w:numFmt w:val="lowerLetter"/>
      <w:start w:val="10"/>
    </w:lvl>
  </w:abstractNum>
  <w:abstractNum w:abstractNumId="20">
    <w:nsid w:val="440BADFC"/>
    <w:multiLevelType w:val="hybridMultilevel"/>
    <w:lvl w:ilvl="0">
      <w:lvlJc w:val="left"/>
      <w:lvlText w:val="(%1)"/>
      <w:numFmt w:val="lowerLetter"/>
      <w:start w:val="11"/>
    </w:lvl>
  </w:abstractNum>
  <w:abstractNum w:abstractNumId="21">
    <w:nsid w:val="5072367"/>
    <w:multiLevelType w:val="hybridMultilevel"/>
    <w:lvl w:ilvl="0">
      <w:lvlJc w:val="left"/>
      <w:lvlText w:val="(%1)"/>
      <w:numFmt w:val="lowerLetter"/>
      <w:start w:val="12"/>
    </w:lvl>
  </w:abstractNum>
  <w:abstractNum w:abstractNumId="22">
    <w:nsid w:val="3804823E"/>
    <w:multiLevelType w:val="hybridMultilevel"/>
    <w:lvl w:ilvl="0">
      <w:lvlJc w:val="left"/>
      <w:lvlText w:val="(%1)"/>
      <w:numFmt w:val="lowerLetter"/>
      <w:start w:val="14"/>
    </w:lvl>
  </w:abstractNum>
  <w:abstractNum w:abstractNumId="23">
    <w:nsid w:val="77465F01"/>
    <w:multiLevelType w:val="hybridMultilevel"/>
    <w:lvl w:ilvl="0">
      <w:lvlJc w:val="left"/>
      <w:lvlText w:val="(%1)"/>
      <w:numFmt w:val="lowerLetter"/>
      <w:start w:val="15"/>
    </w:lvl>
  </w:abstractNum>
  <w:abstractNum w:abstractNumId="24">
    <w:nsid w:val="7724C67E"/>
    <w:multiLevelType w:val="hybridMultilevel"/>
    <w:lvl w:ilvl="0">
      <w:lvlJc w:val="left"/>
      <w:lvlText w:val="(%1)"/>
      <w:numFmt w:val="lowerLetter"/>
      <w:start w:val="17"/>
    </w:lvl>
  </w:abstractNum>
  <w:abstractNum w:abstractNumId="25">
    <w:nsid w:val="5C482A97"/>
    <w:multiLevelType w:val="hybridMultilevel"/>
    <w:lvl w:ilvl="0">
      <w:lvlJc w:val="left"/>
      <w:lvlText w:val="(%1)"/>
      <w:numFmt w:val="lowerLetter"/>
      <w:start w:val="18"/>
    </w:lvl>
  </w:abstractNum>
  <w:abstractNum w:abstractNumId="26">
    <w:nsid w:val="2463B9EA"/>
    <w:multiLevelType w:val="hybridMultilevel"/>
    <w:lvl w:ilvl="0">
      <w:lvlJc w:val="left"/>
      <w:lvlText w:val="(%1)"/>
      <w:numFmt w:val="lowerLetter"/>
      <w:start w:val="19"/>
    </w:lvl>
  </w:abstractNum>
  <w:abstractNum w:abstractNumId="27">
    <w:nsid w:val="5E884ADC"/>
    <w:multiLevelType w:val="hybridMultilevel"/>
    <w:lvl w:ilvl="0">
      <w:lvlJc w:val="left"/>
      <w:lvlText w:val="(%1)"/>
      <w:numFmt w:val="lowerLetter"/>
      <w:start w:val="20"/>
    </w:lvl>
  </w:abstractNum>
  <w:abstractNum w:abstractNumId="28">
    <w:nsid w:val="51EAD36B"/>
    <w:multiLevelType w:val="hybridMultilevel"/>
    <w:lvl w:ilvl="0">
      <w:lvlJc w:val="left"/>
      <w:lvlText w:val="(%1)"/>
      <w:numFmt w:val="lowerLetter"/>
      <w:start w:val="21"/>
    </w:lvl>
  </w:abstractNum>
  <w:abstractNum w:abstractNumId="29">
    <w:nsid w:val="2D517796"/>
    <w:multiLevelType w:val="hybridMultilevel"/>
    <w:lvl w:ilvl="0">
      <w:lvlJc w:val="left"/>
      <w:lvlText w:val="(%1)"/>
      <w:numFmt w:val="lowerRoman"/>
      <w:start w:val="5"/>
    </w:lvl>
  </w:abstractNum>
  <w:abstractNum w:abstractNumId="30">
    <w:nsid w:val="580BD78F"/>
    <w:multiLevelType w:val="hybridMultilevel"/>
    <w:lvl w:ilvl="0">
      <w:lvlJc w:val="left"/>
      <w:lvlText w:val="(%1)"/>
      <w:numFmt w:val="decimal"/>
      <w:start w:val="2"/>
    </w:lvl>
  </w:abstractNum>
  <w:abstractNum w:abstractNumId="31">
    <w:nsid w:val="153EA438"/>
    <w:multiLevelType w:val="hybridMultilevel"/>
    <w:lvl w:ilvl="0">
      <w:lvlJc w:val="left"/>
      <w:lvlText w:val="(%1)"/>
      <w:numFmt w:val="decimal"/>
      <w:start w:val="3"/>
    </w:lvl>
  </w:abstractNum>
  <w:abstractNum w:abstractNumId="32">
    <w:nsid w:val="3855585C"/>
    <w:multiLevelType w:val="hybridMultilevel"/>
    <w:lvl w:ilvl="0">
      <w:lvlJc w:val="left"/>
      <w:lvlText w:val="(%1)"/>
      <w:numFmt w:val="decimal"/>
      <w:start w:val="4"/>
    </w:lvl>
  </w:abstractNum>
  <w:abstractNum w:abstractNumId="33">
    <w:nsid w:val="70A64E2A"/>
    <w:multiLevelType w:val="hybridMultilevel"/>
    <w:lvl w:ilvl="0">
      <w:lvlJc w:val="left"/>
      <w:lvlText w:val="(%1)"/>
      <w:numFmt w:val="decimal"/>
      <w:start w:val="5"/>
    </w:lvl>
  </w:abstractNum>
  <w:abstractNum w:abstractNumId="34">
    <w:nsid w:val="6A2342EC"/>
    <w:multiLevelType w:val="hybridMultilevel"/>
    <w:lvl w:ilvl="0">
      <w:lvlJc w:val="left"/>
      <w:lvlText w:val="(%1)"/>
      <w:numFmt w:val="decimal"/>
      <w:start w:val="6"/>
    </w:lvl>
  </w:abstractNum>
  <w:abstractNum w:abstractNumId="35">
    <w:nsid w:val="2A487CB0"/>
    <w:multiLevelType w:val="hybridMultilevel"/>
    <w:lvl w:ilvl="0">
      <w:lvlJc w:val="left"/>
      <w:lvlText w:val="(%1)"/>
      <w:numFmt w:val="decimal"/>
      <w:start w:val="7"/>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decimal"/>
      <w:start w:val="8"/>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decimal"/>
      <w:start w:val="10"/>
    </w:lvl>
  </w:abstractNum>
  <w:abstractNum w:abstractNumId="40">
    <w:nsid w:val="7A6D8D3C"/>
    <w:multiLevelType w:val="hybridMultilevel"/>
    <w:lvl w:ilvl="0">
      <w:lvlJc w:val="left"/>
      <w:lvlText w:val="(%1)"/>
      <w:numFmt w:val="decimal"/>
      <w:start w:val="11"/>
    </w:lvl>
  </w:abstractNum>
  <w:abstractNum w:abstractNumId="41">
    <w:nsid w:val="4B588F54"/>
    <w:multiLevelType w:val="hybridMultilevel"/>
    <w:lvl w:ilvl="0">
      <w:lvlJc w:val="left"/>
      <w:lvlText w:val="(%1)"/>
      <w:numFmt w:val="decimal"/>
      <w:start w:val="12"/>
    </w:lvl>
  </w:abstractNum>
  <w:abstractNum w:abstractNumId="42">
    <w:nsid w:val="542289EC"/>
    <w:multiLevelType w:val="hybridMultilevel"/>
    <w:lvl w:ilvl="0">
      <w:lvlJc w:val="left"/>
      <w:lvlText w:val="(%1)"/>
      <w:numFmt w:val="decimal"/>
      <w:start w:val="13"/>
    </w:lvl>
  </w:abstractNum>
  <w:abstractNum w:abstractNumId="43">
    <w:nsid w:val="6DE91B18"/>
    <w:multiLevelType w:val="hybridMultilevel"/>
    <w:lvl w:ilvl="0">
      <w:lvlJc w:val="left"/>
      <w:lvlText w:val="(%1)"/>
      <w:numFmt w:val="decimal"/>
      <w:start w:val="14"/>
    </w:lvl>
  </w:abstractNum>
  <w:abstractNum w:abstractNumId="44">
    <w:nsid w:val="38437FDB"/>
    <w:multiLevelType w:val="hybridMultilevel"/>
    <w:lvl w:ilvl="0">
      <w:lvlJc w:val="left"/>
      <w:lvlText w:val="(%1)"/>
      <w:numFmt w:val="decimal"/>
      <w:start w:val="15"/>
    </w:lvl>
  </w:abstractNum>
  <w:abstractNum w:abstractNumId="45">
    <w:nsid w:val="7644A45C"/>
    <w:multiLevelType w:val="hybridMultilevel"/>
    <w:lvl w:ilvl="0">
      <w:lvlJc w:val="left"/>
      <w:lvlText w:val="(%1)"/>
      <w:numFmt w:val="decimal"/>
      <w:start w:val="16"/>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4"/>
    </w:lvl>
  </w:abstractNum>
  <w:abstractNum w:abstractNumId="48">
    <w:nsid w:val="579478FE"/>
    <w:multiLevelType w:val="hybridMultilevel"/>
    <w:lvl w:ilvl="0">
      <w:lvlJc w:val="left"/>
      <w:lvlText w:val="(%1)"/>
      <w:numFmt w:val="decimal"/>
      <w:start w:val="17"/>
    </w:lvl>
  </w:abstractNum>
  <w:abstractNum w:abstractNumId="49">
    <w:nsid w:val="749ABB43"/>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2026-04-29T20:48:38Z</dcterms:created>
  <dcterms:modified xsi:type="dcterms:W3CDTF">2026-04-29T20:48:38Z</dcterms:modified>
</cp:coreProperties>
</file>